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FATEC VOTORANTIM</w:t>
      </w:r>
    </w:p>
    <w:p>
      <w:pPr>
        <w:jc w:val="center"/>
      </w:pPr>
      <w:r>
        <w:rPr>
          <w:b/>
        </w:rPr>
        <w:t>CENTRO PAULA SOUZA</w:t>
      </w:r>
    </w:p>
    <w:p>
      <w:pPr>
        <w:jc w:val="center"/>
      </w:pPr>
      <w:r>
        <w:rPr>
          <w:b/>
        </w:rPr>
        <w:t>CURSO SUPERIOR DE DESENVOLVIMENTO DE SOFTWARE MULTIPLATAFORMA</w:t>
      </w:r>
    </w:p>
    <w:p/>
    <w:p/>
    <w:p/>
    <w:p/>
    <w:p>
      <w:pPr>
        <w:jc w:val="center"/>
      </w:pPr>
      <w:r>
        <w:rPr>
          <w:b/>
          <w:sz w:val="40"/>
        </w:rPr>
        <w:t>DOCUMENTAÇÃO TÉCNICA</w:t>
      </w:r>
    </w:p>
    <w:p>
      <w:pPr>
        <w:jc w:val="center"/>
      </w:pPr>
      <w:r>
        <w:rPr>
          <w:i/>
          <w:sz w:val="28"/>
        </w:rPr>
        <w:t>Vacina em Dia: carteira de vacinação digital com lembretes e assistente por voz</w:t>
      </w:r>
    </w:p>
    <w:p/>
    <w:p/>
    <w:p/>
    <w:p/>
    <w:p>
      <w:pPr>
        <w:jc w:val="center"/>
      </w:pPr>
      <w:r>
        <w:t>Projeto Interdisciplinar VI (PI-VI)</w:t>
        <w:br/>
        <w:t>Eduardo Kamo Iguei</w:t>
        <w:br/>
        <w:t>Orientador: Prof. Dr. Cassio R. F. Riedo</w:t>
      </w:r>
    </w:p>
    <w:p/>
    <w:p/>
    <w:p/>
    <w:p/>
    <w:p/>
    <w:p>
      <w:pPr>
        <w:jc w:val="center"/>
      </w:pPr>
      <w:r>
        <w:t>Votorantim</w:t>
        <w:br/>
        <w:t>2026</w:t>
        <w:br/>
        <w:t>Versão 1.0, 07/10/2026</w:t>
      </w:r>
    </w:p>
    <w:p>
      <w:r>
        <w:br w:type="page"/>
      </w:r>
    </w:p>
    <w:p>
      <w:pPr>
        <w:pStyle w:val="Heading1"/>
      </w:pPr>
      <w:r>
        <w:t>1. Identificação do Projeto</w:t>
      </w:r>
    </w:p>
    <w:p>
      <w:r>
        <w:rPr>
          <w:b/>
        </w:rPr>
        <w:t>1.1. Nome do Projeto:</w:t>
      </w:r>
      <w:r>
        <w:t xml:space="preserve"> Vacina em Dia: carteira de vacinação digital com lembretes e assistente por voz.</w:t>
      </w:r>
    </w:p>
    <w:p>
      <w:r>
        <w:rPr>
          <w:b/>
        </w:rPr>
        <w:t>1.2. Grupo/Equipe:</w:t>
      </w:r>
      <w:r>
        <w:t xml:space="preserve"> Eduardo Kamo Iguei, RA 3011392413005 (projeto individual).</w:t>
      </w:r>
    </w:p>
    <w:p>
      <w:r>
        <w:rPr>
          <w:b/>
        </w:rPr>
        <w:t>1.3. Data da Elaboração:</w:t>
      </w:r>
      <w:r>
        <w:t xml:space="preserve"> 07/10/2026 (primeira versão deste documento).</w:t>
      </w:r>
    </w:p>
    <w:p>
      <w:r>
        <w:rPr>
          <w:b/>
        </w:rPr>
        <w:t>1.4. Versão do Documento:</w:t>
      </w:r>
      <w:r>
        <w:t xml:space="preserve"> 1.0, 07/10/2026. Documento mantido junto com o código; cada alteração significativa gera nova versão.</w:t>
      </w:r>
    </w:p>
    <w:p>
      <w:r>
        <w:t>O código-fonte, as decisões de arquitetura (ADRs) e as demais documentações ficam no repositório https://github.com/edukamoz/vacina-em-dia. O Product Backlog está no Jira (projeto SCRUM) do autor.</w:t>
      </w:r>
    </w:p>
    <w:p>
      <w:pPr>
        <w:pStyle w:val="Heading1"/>
      </w:pPr>
      <w:r>
        <w:t>2. Visão Geral do Produto</w:t>
      </w:r>
    </w:p>
    <w:p>
      <w:pPr>
        <w:pStyle w:val="Heading2"/>
      </w:pPr>
      <w:r>
        <w:t>2.1. Problema a ser Resolvido</w:t>
      </w:r>
    </w:p>
    <w:p>
      <w:r>
        <w:t>As famílias precisam acompanhar um calendário vacinal que varia conforme a idade e a condição de cada pessoa, e esse acompanhamento ainda depende, em grande parte, da caderneta de papel e da memória de quem cuida. O Quadro 1 relaciona os problemas às expectativas de solução; cada problema está associado a pelo menos uma expectativa. Os problemas são hipóteses de trabalho, a serem confirmadas com usuários.</w:t>
      </w:r>
    </w:p>
    <w:p>
      <w:pPr>
        <w:keepNext/>
        <w:jc w:val="center"/>
      </w:pPr>
      <w:r>
        <w:rPr>
          <w:b/>
          <w:sz w:val="20"/>
        </w:rPr>
        <w:t>Quadro 1 – Problemas, expectativas e metas propostas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80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Expectativa</w:t>
            </w:r>
          </w:p>
        </w:tc>
        <w:tc>
          <w:tcPr>
            <w:tcW w:type="dxa" w:w="272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Meta proposta</w:t>
            </w:r>
          </w:p>
        </w:tc>
      </w:tr>
      <w:tr>
        <w:tc>
          <w:tcPr>
            <w:tcW w:type="dxa" w:w="68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PR1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Doses esquecidas ou atrasadas por falta de lembretes e de organização do calendário, sobretudo em famílias com vários membros.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EX1 – Notificar o usuário antes da data de cada dose pendente e sinalizar doses atrasadas.</w:t>
            </w:r>
          </w:p>
        </w:tc>
        <w:tc>
          <w:tcPr>
            <w:tcW w:type="dxa" w:w="272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Toda dose pendente com data prevista gera lembrete; antecedência configurável (padrão: 7 dias e 1 dia).</w:t>
            </w:r>
          </w:p>
        </w:tc>
      </w:tr>
      <w:tr>
        <w:tc>
          <w:tcPr>
            <w:tcW w:type="dxa" w:w="68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PR2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Caderneta de papel perdida, danificada ou indisponível no momento da consulta; informação dispersa.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EX2 – Manter um registro digital único por membro da família, consultável a qualquer momento.</w:t>
            </w:r>
          </w:p>
        </w:tc>
        <w:tc>
          <w:tcPr>
            <w:tcW w:type="dxa" w:w="272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Histórico de um membro acessível em até 3 toques a partir da tela inicial.</w:t>
            </w:r>
          </w:p>
        </w:tc>
      </w:tr>
      <w:tr>
        <w:tc>
          <w:tcPr>
            <w:tcW w:type="dxa" w:w="68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PR3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Dificuldade de saber quais vacinas são indicadas para cada idade e dúvidas frequentes, em um cenário de desinformação.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EX3 – Exibir o calendário por faixa etária com base no calendário oficial do PNI e responder dúvidas com conteúdo curado.</w:t>
            </w:r>
          </w:p>
        </w:tc>
        <w:tc>
          <w:tcPr>
            <w:tcW w:type="dxa" w:w="272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100% das vacinas exibidas com fonte e data de versão; F1 do classificador de intenções ≥ 0,85 em conjunto de teste (meta a validar).</w:t>
            </w:r>
          </w:p>
        </w:tc>
      </w:tr>
      <w:tr>
        <w:tc>
          <w:tcPr>
            <w:tcW w:type="dxa" w:w="68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PR4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Barreiras de acesso para pessoas com baixa familiaridade digital ou dificuldade de digitação, como muitos idosos.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EX4 – Permitir consulta por voz e oferecer interface acessível, em linguagem simples.</w:t>
            </w:r>
          </w:p>
        </w:tc>
        <w:tc>
          <w:tcPr>
            <w:tcW w:type="dxa" w:w="272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Resultado da busca por voz em até 3 s em 90% das requisições; telas principais em conformidade com WCAG 2.1 nível AA.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2"/>
      </w:pPr>
      <w:r>
        <w:t>2.2. Solução Proposta</w:t>
      </w:r>
    </w:p>
    <w:p>
      <w:r>
        <w:t>O Vacina em Dia é um aplicativo multiplataforma (web, Android e iOS) que roda na Microsoft Azure. As expectativas de alto nível e o que foi entregue até a data deste documento são:</w:t>
      </w:r>
    </w:p>
    <w:p>
      <w:pPr>
        <w:pStyle w:val="ListBullet"/>
      </w:pPr>
      <w:r>
        <w:rPr>
          <w:b/>
        </w:rPr>
        <w:t>EX1 (para PR1), lembretes:</w:t>
      </w:r>
      <w:r>
        <w:t xml:space="preserve"> o cartão "Lembretes" mostra no app as doses atrasadas, as de hoje e as dos próximos 7 dias de toda a família, e um e-mail diário às 8h (opcional) avisa 7 dias antes e no dia da vacina. Entregue (ADR-017).</w:t>
      </w:r>
    </w:p>
    <w:p>
      <w:pPr>
        <w:pStyle w:val="ListBullet"/>
      </w:pPr>
      <w:r>
        <w:rPr>
          <w:b/>
        </w:rPr>
        <w:t>EX2 (para PR2), registro digital único:</w:t>
      </w:r>
      <w:r>
        <w:t xml:space="preserve"> cada pessoa da família tem seu calendário e seu histórico, com ciclo de vida da dose (pendente, agendada, atrasada, aplicada e cancelada) e vacinas adicionadas à mão. Entregue.</w:t>
      </w:r>
    </w:p>
    <w:p>
      <w:pPr>
        <w:pStyle w:val="ListBullet"/>
      </w:pPr>
      <w:r>
        <w:rPr>
          <w:b/>
        </w:rPr>
        <w:t>EX3 (para PR3), calendário oficial e dúvidas:</w:t>
      </w:r>
      <w:r>
        <w:t xml:space="preserve"> 100% das vacinas exibidas citam fonte e versão (Calendário Nacional de Vacinação 2026, Ministério da Saúde); o chatbot responde com texto curado e fonte, com F1 macro de 0,932 em 100 frases de teste (meta de 0,85). Entregue.</w:t>
      </w:r>
    </w:p>
    <w:p>
      <w:pPr>
        <w:pStyle w:val="ListBullet"/>
      </w:pPr>
      <w:r>
        <w:rPr>
          <w:b/>
        </w:rPr>
        <w:t>EX4 (para PR4), acesso:</w:t>
      </w:r>
      <w:r>
        <w:t xml:space="preserve"> pergunta por voz (web e Android; transcrição pelo Azure AI Speech), telas em linguagem simples, três temas (claro, escuro e alto contraste) com contraste calculado pelo WCAG 2.1 AA. Entregue, com ressalvas de teste em aparelho físico e iOS (seção 11).</w:t>
      </w:r>
    </w:p>
    <w:p>
      <w:pPr>
        <w:pStyle w:val="Heading2"/>
      </w:pPr>
      <w:r>
        <w:t>2.3. Público-Alvo</w:t>
      </w:r>
    </w:p>
    <w:p>
      <w:r>
        <w:t>Os usuários finais são pais e responsáveis por crianças, idosos e cuidadores de familiares. A solução não é voltada a profissionais de saúde. O Quadro 2 apresenta as personas, construídas a partir do problema descrito.</w:t>
      </w:r>
    </w:p>
    <w:p>
      <w:pPr>
        <w:keepNext/>
        <w:jc w:val="center"/>
      </w:pPr>
      <w:r>
        <w:rPr>
          <w:b/>
          <w:sz w:val="20"/>
        </w:rPr>
        <w:t>Quadro 2 – Personas do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Persona</w:t>
            </w:r>
          </w:p>
        </w:tc>
        <w:tc>
          <w:tcPr>
            <w:tcW w:type="dxa" w:w="238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238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Necessidades</w:t>
            </w:r>
          </w:p>
        </w:tc>
        <w:tc>
          <w:tcPr>
            <w:tcW w:type="dxa" w:w="204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Dificuldades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 – Mariana, 32 anos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Mãe de duas crianças (3 anos e recém-nascido). Usa o smartphone no dia a dia e tem pouco tempo livre.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Saber quais vacinas e quando; receber lembretes; ter a carteira sempre à mão.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Rotina corrida; esquece datas; dúvida sobre o que é indicado em cada idade.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PE2 – Sr. José, 68 anos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Aposentado que usa o celular para ligações e mensagens; baixa familiaridade com aplicativos.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Consultar suas vacinas por voz; telas simples, letras grandes e poucos passos.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Dificuldade de digitar e de navegar por menus; receio de errar.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PE3 – Carla, 45 anos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Cuida do pai e da mãe idosos e acompanha a vacinação do filho adolescente.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Gerenciar vários membros em uma só conta; ver as pendências de todos de uma vez.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Controla muitas informações ao mesmo tempo; mistura datas de pessoas diferentes.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1"/>
      </w:pPr>
      <w:r>
        <w:t>3. Requisitos Funcionais e Não Funcionais</w:t>
      </w:r>
    </w:p>
    <w:p>
      <w:pPr>
        <w:pStyle w:val="Heading2"/>
      </w:pPr>
      <w:r>
        <w:t>3.1. Requisitos Funcionais (RFs)</w:t>
      </w:r>
    </w:p>
    <w:p>
      <w:r>
        <w:t>O escopo do MVP é RF01 a RF09. Os RF10 a RF12 (versão completa) não foram iniciados. Cada requisito está associado a pelo menos uma persona e a pelo menos um requisito não funcional.</w:t>
      </w:r>
    </w:p>
    <w:p>
      <w:pPr>
        <w:keepNext/>
        <w:jc w:val="center"/>
      </w:pPr>
      <w:r>
        <w:rPr>
          <w:b/>
          <w:sz w:val="20"/>
        </w:rPr>
        <w:t>Quadro 3 –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737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082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1247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Personas</w:t>
            </w:r>
          </w:p>
        </w:tc>
        <w:tc>
          <w:tcPr>
            <w:tcW w:type="dxa" w:w="153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RNF associados</w:t>
            </w:r>
          </w:p>
        </w:tc>
        <w:tc>
          <w:tcPr>
            <w:tcW w:type="dxa" w:w="119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Escopo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RF01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Cadastrar-se e autenticar-se no sistema (e-mail e senha), com sessão segura.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PE2,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RNF02, RNF03, RNF09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RF02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Gerenciar membros da família (incluir, editar e excluir), informando nome, data de nascimento e, opcionalmente, grupo específico (como gestante).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RNF03, RNF04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RF03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Exibir o calendário vacinal de cada membro conforme a faixa etária, com base no calendário oficial do PNI, indicando fonte e versão.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PE2,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RNF04, RNF10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RF04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Registrar doses e controlar seu ciclo de vida (pendente, agendada, aplicada, atrasada e cancelada).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RNF01, RNF07, RNF10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RF05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Enviar lembretes de doses próximas e sinalizar doses atrasadas.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PE2,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RNF01, RNF05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RF06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Realizar busca semântica por voz sobre vacinas e calendário.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PE2, PE1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RNF01, RNF04, RNF09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RF07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Responder dúvidas frequentes por chatbot baseado em regras com classificação de intenções (TF-IDF e SVM).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PE2,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RNF01, RNF04, RNF10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RF08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Consultar o histórico de doses de cada membro.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RNF01, RNF04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RF09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Gerenciar consentimento e privacidade, incluindo a exclusão da conta e dos dados.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PE2,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RNF02, RNF03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MVP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RF10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Localizar unidades de saúde próximas em mapa.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RNF01, RNF04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Completa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RF11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Exportar a carteira de vacinação em PDF.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PE1, 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RNF03, RNF10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Completa</w:t>
            </w:r>
          </w:p>
        </w:tc>
      </w:tr>
      <w:tr>
        <w:tc>
          <w:tcPr>
            <w:tcW w:type="dxa" w:w="73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RF12</w:t>
            </w:r>
          </w:p>
        </w:tc>
        <w:tc>
          <w:tcPr>
            <w:tcW w:type="dxa" w:w="408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Compartilhar a carteira com outro cuidador autorizado.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PE3</w:t>
            </w:r>
          </w:p>
        </w:tc>
        <w:tc>
          <w:tcPr>
            <w:tcW w:type="dxa" w:w="153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RNF02, RNF03</w:t>
            </w:r>
          </w:p>
        </w:tc>
        <w:tc>
          <w:tcPr>
            <w:tcW w:type="dxa" w:w="119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Completa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2"/>
      </w:pPr>
      <w:r>
        <w:t>3.2. Requisitos Não Funcionais (RNFs)</w:t>
      </w:r>
    </w:p>
    <w:p>
      <w:pPr>
        <w:keepNext/>
        <w:jc w:val="center"/>
      </w:pPr>
      <w:r>
        <w:rPr>
          <w:b/>
          <w:sz w:val="20"/>
        </w:rPr>
        <w:t>Quadro 4 –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13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0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385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2268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Verificação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RNF01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Desempenho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Pelo menos 90% das requisições da API devem responder em menos de 3 segundos.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Métricas do Application Insights e testes de carga leves.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RNF02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Segurança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Comunicação por HTTPS; autenticação própria com senha protegida por hash forte (scrypt), tokens de curta duração e limite de tentativas (ADR-014); tokens em armazenamento seguro no app; segredos no Key Vault; validação de entradas; checklist OWASP Top 10.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de segurança básicos e revisão de configuração.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RNF03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Privacidade e LGPD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Coleta mínima de dados, sem CPF nem Cartão Nacional de Saúde; consentimento explícito; exclusão de conta e dados.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Revisão do modelo de dados e testes dos fluxos de consentimento e exclusão.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RNF04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Usabilidade e acessibilidade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Contraste, tamanho de fonte e áreas de toque conforme WCAG 2.1 nível AA; linguagem simples; fonte ampliável.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Checklist de acessibilidade nas telas principais.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RNF05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Disponibilidade e monitoramento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Logs, métricas e alertas básicos em serviço de monitoramento da nuvem.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Painéis e alertas no Application Insights.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RNF06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Manutenibilidade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TypeScript em modo estrito, ESLint e Prettier, documentação TSDoc gerada com TypeDoc e decisões registradas em ADRs.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Pipeline de CI (lint, build e documentação).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RNF07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Testabilidade e qualidade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automatizados em Jest com 100% de aprovação no pipeline e cobertura mínima de 80% (meta própria: 90%).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Relatório de cobertura do Jest no GitHub Actions.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RNF08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Portabilidade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Execução do projeto em contêiner Docker.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Subida do ambiente local por Docker.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RNF09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Multiplataforma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Aplicativo para Android, iOS e web a partir de uma base de código única.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Execução em emulador, dispositivo e navegador.</w:t>
            </w:r>
          </w:p>
        </w:tc>
      </w:tr>
      <w:tr>
        <w:tc>
          <w:tcPr>
            <w:tcW w:type="dxa" w:w="113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RNF10</w:t>
            </w:r>
          </w:p>
        </w:tc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Integridade dos dados vacinais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Calendário versionado, com fonte e data; respostas do chatbot curadas, sem conteúdo gerado livremente; aviso de que o app não substitui a caderneta nem a orientação profissional.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de conteúdo do calendário e das respostas do chatbot.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r>
        <w:t xml:space="preserve">O mapa de rastreabilidade de cada requisito para as telas, as rotas da API e os testes está em </w:t>
      </w:r>
      <w:r>
        <w:rPr>
          <w:rFonts w:ascii="Consolas" w:hAnsi="Consolas" w:eastAsia="Consolas"/>
          <w:sz w:val="22"/>
        </w:rPr>
        <w:t>docs/19-rastreabilidade.md</w:t>
      </w:r>
      <w:r>
        <w:t xml:space="preserve"> do repositório.</w:t>
      </w:r>
    </w:p>
    <w:p>
      <w:pPr>
        <w:pStyle w:val="Heading1"/>
      </w:pPr>
      <w:r>
        <w:t>4. Arquitetura do Sistema</w:t>
      </w:r>
    </w:p>
    <w:p>
      <w:pPr>
        <w:pStyle w:val="Heading2"/>
      </w:pPr>
      <w:r>
        <w:t>4.1. Visão Geral da Arquitetura</w:t>
      </w:r>
    </w:p>
    <w:p>
      <w:r>
        <w:t xml:space="preserve">A arquitetura é </w:t>
      </w:r>
      <w:r>
        <w:rPr>
          <w:b/>
        </w:rPr>
        <w:t>cliente-servidor serverless</w:t>
      </w:r>
      <w:r>
        <w:t>: um aplicativo único (web, Android e iOS) conversa por HTTPS com uma API em Azure Functions, que usa o Azure SQL para os dados, um serviço de PLN separado (Python) para o chatbot e a busca, o Azure AI Speech para a voz e o Brevo para o e-mail. A Figura 1 mostra os blocos.</w:t>
      </w:r>
    </w:p>
    <w:p>
      <w:pPr>
        <w:sectPr>
          <w:foot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keepNext w:val="0"/>
        <w:jc w:val="center"/>
      </w:pPr>
      <w:r>
        <w:rPr>
          <w:b/>
          <w:sz w:val="20"/>
        </w:rPr>
        <w:t>Figura 1 – Arquitetura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227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2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Fonte: Elaborado pelo autor (2026).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rPr>
          <w:b/>
        </w:rPr>
        <w:t>Justificativa:</w:t>
      </w:r>
      <w:r>
        <w:t xml:space="preserve"> o modelo serverless cobra por uso e escala a zero, o que cabe no orçamento de um projeto acadêmico; a separação do PLN em Python permite usar scikit-learn sem forçar a API a sair do TypeScript; o pacote compartilhado (</w:t>
      </w:r>
      <w:r>
        <w:rPr>
          <w:rFonts w:ascii="Consolas" w:hAnsi="Consolas" w:eastAsia="Consolas"/>
          <w:sz w:val="22"/>
        </w:rPr>
        <w:t>packages/shared</w:t>
      </w:r>
      <w:r>
        <w:t xml:space="preserve">) mantém tipos, esquemas Zod e regras de domínio (máquina de estados da dose, calendário) como fonte única para o app e a API. A API segue camadas: </w:t>
      </w:r>
      <w:r>
        <w:rPr>
          <w:b/>
        </w:rPr>
        <w:t>handlers</w:t>
      </w:r>
      <w:r>
        <w:t xml:space="preserve"> (HTTP, finos) → </w:t>
      </w:r>
      <w:r>
        <w:rPr>
          <w:b/>
        </w:rPr>
        <w:t>services</w:t>
      </w:r>
      <w:r>
        <w:t xml:space="preserve"> (casos de uso) → </w:t>
      </w:r>
      <w:r>
        <w:rPr>
          <w:b/>
        </w:rPr>
        <w:t>domain</w:t>
      </w:r>
      <w:r>
        <w:t xml:space="preserve"> (regras puras) → </w:t>
      </w:r>
      <w:r>
        <w:rPr>
          <w:b/>
        </w:rPr>
        <w:t>repositories</w:t>
      </w:r>
      <w:r>
        <w:t xml:space="preserve"> (acesso a dados). Regras de data recebem o "hoje" por parâmetro, para serem testadas sem relógio real.</w:t>
      </w:r>
    </w:p>
    <w:p>
      <w:pPr>
        <w:pStyle w:val="Heading2"/>
      </w:pPr>
      <w:r>
        <w:t>4.2. Componentes Principais</w:t>
      </w:r>
    </w:p>
    <w:p>
      <w:pPr>
        <w:keepNext/>
        <w:jc w:val="center"/>
      </w:pPr>
      <w:r>
        <w:rPr>
          <w:b/>
          <w:sz w:val="20"/>
        </w:rPr>
        <w:t>Quadro 5 – Componentes, tecnologias e versões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85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Tecnologias e versões</w:t>
            </w:r>
          </w:p>
        </w:tc>
        <w:tc>
          <w:tcPr>
            <w:tcW w:type="dxa" w:w="3288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App (</w:t>
            </w:r>
            <w:r>
              <w:rPr>
                <w:rFonts w:ascii="Consolas" w:hAnsi="Consolas" w:eastAsia="Consolas"/>
                <w:sz w:val="16"/>
              </w:rPr>
              <w:t>apps/mobile</w:t>
            </w:r>
            <w:r>
              <w:rPr>
                <w:sz w:val="18"/>
              </w:rPr>
              <w:t>)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Expo SDK 57.0.27, React Native 0.86.3, React 19.2.3, expo-router 57.0.25, NativeWind 4.2.7, TanStack Query 5.104.1, expo-audio 57.0.5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Telas, navegação, sessão (Context API), cache de dados e captura de voz; web, Android e iOS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API (</w:t>
            </w:r>
            <w:r>
              <w:rPr>
                <w:rFonts w:ascii="Consolas" w:hAnsi="Consolas" w:eastAsia="Consolas"/>
                <w:sz w:val="16"/>
              </w:rPr>
              <w:t>apps/api</w:t>
            </w:r>
            <w:r>
              <w:rPr>
                <w:sz w:val="18"/>
              </w:rPr>
              <w:t>)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Functions 4 (</w:t>
            </w:r>
            <w:r>
              <w:rPr>
                <w:rFonts w:ascii="Consolas" w:hAnsi="Consolas" w:eastAsia="Consolas"/>
                <w:sz w:val="16"/>
              </w:rPr>
              <w:t>@azure/functions</w:t>
            </w:r>
            <w:r>
              <w:rPr>
                <w:sz w:val="18"/>
              </w:rPr>
              <w:t xml:space="preserve"> 4.16.5), Node.js 24.21.0, TypeScript 6.0.3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Regras de negócio em camadas, login próprio, rotas REST, rotina diária de lembretes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Compartilhado (</w:t>
            </w:r>
            <w:r>
              <w:rPr>
                <w:rFonts w:ascii="Consolas" w:hAnsi="Consolas" w:eastAsia="Consolas"/>
                <w:sz w:val="16"/>
              </w:rPr>
              <w:t>packages/shared</w:t>
            </w:r>
            <w:r>
              <w:rPr>
                <w:sz w:val="18"/>
              </w:rPr>
              <w:t>)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TypeScript 6.0.3, Zod 4.6.5, zod-to-openapi 9.1.0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Tipos, esquemas de entrada e saída, máquina de estados da dose, calendário vacinal e regras de lembrete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PLN (</w:t>
            </w:r>
            <w:r>
              <w:rPr>
                <w:rFonts w:ascii="Consolas" w:hAnsi="Consolas" w:eastAsia="Consolas"/>
                <w:sz w:val="16"/>
              </w:rPr>
              <w:t>apps/nlp</w:t>
            </w:r>
            <w:r>
              <w:rPr>
                <w:sz w:val="18"/>
              </w:rPr>
              <w:t>)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Functions (Python 3.13), scikit-learn 1.9.1, numpy 2.5.3, scipy 1.18.1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Classificador de intenções (TF-IDF + SVM), respostas curadas e busca de vacinas com LSA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Banco de dados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SQL Database (oferta gratuita, serverless), esquema T-SQL versionado em 5 migrações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Contas, tokens, consentimento, pessoas, doses e registro de lembretes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Voz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AI Speech (F0), API REST de áudio curto, pt-BR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Transcrição da fala; o áudio nunca é gravado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E-mail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Brevo (API v3, plano gratuito)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Recuperação de senha e lembretes por e-mail</w:t>
            </w:r>
          </w:p>
        </w:tc>
      </w:tr>
      <w:tr>
        <w:tc>
          <w:tcPr>
            <w:tcW w:type="dxa" w:w="181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Entrega e contêineres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GitHub Actions, Docker 29.7.2 e Compose 5.4.0, Azurite 3.37.0, nginx 1.31.6</w:t>
            </w:r>
          </w:p>
        </w:tc>
        <w:tc>
          <w:tcPr>
            <w:tcW w:type="dxa" w:w="328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CI, deploy por login federado (OIDC) e ambiente local completo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2"/>
      </w:pPr>
      <w:r>
        <w:t>4.3. Tecnologias Utilizadas</w:t>
      </w:r>
    </w:p>
    <w:p>
      <w:r>
        <w:t xml:space="preserve">As versões abaixo foram conferidas nos registros oficiais (npm e PyPI) e estão fixadas nos arquivos de dependências. A lista atualizada fica em </w:t>
      </w:r>
      <w:r>
        <w:rPr>
          <w:rFonts w:ascii="Consolas" w:hAnsi="Consolas" w:eastAsia="Consolas"/>
          <w:sz w:val="22"/>
        </w:rPr>
        <w:t>docs/tech-versions.md</w:t>
      </w:r>
      <w:r>
        <w:t>.</w:t>
      </w:r>
    </w:p>
    <w:p>
      <w:pPr>
        <w:keepNext/>
        <w:jc w:val="center"/>
      </w:pPr>
      <w:r>
        <w:rPr>
          <w:b/>
          <w:sz w:val="20"/>
        </w:rPr>
        <w:t>Quadro 6 – Tecnologias: Ambiente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187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453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Node.js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24.21.0 LTS (mínimo 22.13.0)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.nvmrc</w:t>
            </w:r>
            <w:r>
              <w:rPr>
                <w:sz w:val="18"/>
              </w:rPr>
              <w:t xml:space="preserve"> (24) e </w:t>
            </w:r>
            <w:r>
              <w:rPr>
                <w:rFonts w:ascii="Consolas" w:hAnsi="Consolas" w:eastAsia="Consolas"/>
                <w:sz w:val="16"/>
              </w:rPr>
              <w:t>engines</w:t>
            </w:r>
            <w:r>
              <w:rPr>
                <w:sz w:val="18"/>
              </w:rPr>
              <w:t xml:space="preserve">. O Azure Functions v4 suporta Node 22 e 24; o Node 20 saiu de suporte em abril de 2026. Migração testada em 06/10/2026 (lint, tipos, build, testes, TypeDoc, API local, web do Expo e </w:t>
            </w:r>
            <w:r>
              <w:rPr>
                <w:rFonts w:ascii="Consolas" w:hAnsi="Consolas" w:eastAsia="Consolas"/>
                <w:sz w:val="16"/>
              </w:rPr>
              <w:t>npm audit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npm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11.19.0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gerenciador, com workspaces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Docker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29.7.2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contêineres (SCRUM-25)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Python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3.13 (Azure Functions, CI e Docker); 3.14.7 no computador de desenvolvimento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serviço de PLN (SCRUM-21). O Flex Consumption da Azure oferece 3.10 a 3.14 (consulta de 07/10/2026)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keepNext/>
        <w:jc w:val="center"/>
      </w:pPr>
      <w:r>
        <w:rPr>
          <w:b/>
          <w:sz w:val="20"/>
        </w:rPr>
        <w:t>Quadro 7 – Tecnologias: Aplicativo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187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453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Expo (SDK)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57.0.27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Android, iOS e web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expo-router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57.0.25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navegação por arquivos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React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19.2.3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b/>
                <w:sz w:val="18"/>
              </w:rPr>
              <w:t>fixada</w:t>
            </w:r>
            <w:r>
              <w:rPr>
                <w:sz w:val="18"/>
              </w:rPr>
              <w:t xml:space="preserve"> por </w:t>
            </w:r>
            <w:r>
              <w:rPr>
                <w:rFonts w:ascii="Consolas" w:hAnsi="Consolas" w:eastAsia="Consolas"/>
                <w:sz w:val="16"/>
              </w:rPr>
              <w:t>overrides</w:t>
            </w:r>
            <w:r>
              <w:rPr>
                <w:sz w:val="18"/>
              </w:rPr>
              <w:t xml:space="preserve"> na raiz, para existir uma só cópia (versão do SDK 57)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React DOM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19.2.3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idem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React Native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0.86.3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versão do SDK 57 (a mais nova do npm é 0.87.1, mas o Expo recomenda a 0.86.3)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React Native Web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0.21.3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versão web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react-native-safe-area-context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5.7.0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react-native-screens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4.26.2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expo-linking / expo-constants / expo-status-bar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57.0.12 / 57.0.21 / 57.0.1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@expo/metro-runtime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57.0.16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NativeWind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4.2.7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estilos com classes no app (Android, iOS e web)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Tailwind CSS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3.4.19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o NativeWind 4 exige a série 3.4 (a 4.x ainda não é suportada)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react-native-reanimated / react-native-worklets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4.5.1 / 0.10.1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exigidos pelo NativeWind; versões do SDK 57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expo-font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57.0.4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carrega a fonte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@expo-google-fonts/atkinson-hyperlegible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0.4.1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fonte Atkinson Hyperlegible (regular e negrito)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Docker / Compose (testado)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29.7.2 / 5.4.0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docker compose up --build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mcr.microsoft.com/azure-functions/node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4-node24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host oficial das Functions no contêiner da API (só </w:t>
            </w:r>
            <w:r>
              <w:rPr>
                <w:rFonts w:ascii="Consolas" w:hAnsi="Consolas" w:eastAsia="Consolas"/>
                <w:sz w:val="16"/>
              </w:rPr>
              <w:t>linux/amd64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mcr.microsoft.com/azure-storage/azurite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3.37.0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emulador do Armazenamento do Azure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node (imagem de build) / nginx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24.21.0-slim / 1.31.6-alpine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compilam o app e servem o app web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@tanstack/react-query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5.104.1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dados do servidor no app (ADR-006)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jest-expo / @testing-library/react-native / test-renderer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57.0.5 / 14.0.1 / 1.3.0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testes do app (o RNTL 14 usa o </w:t>
            </w:r>
            <w:r>
              <w:rPr>
                <w:rFonts w:ascii="Consolas" w:hAnsi="Consolas" w:eastAsia="Consolas"/>
                <w:sz w:val="16"/>
              </w:rPr>
              <w:t>test-renderer</w:t>
            </w:r>
            <w:r>
              <w:rPr>
                <w:sz w:val="18"/>
              </w:rPr>
              <w:t>)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keepNext/>
        <w:jc w:val="center"/>
      </w:pPr>
      <w:r>
        <w:rPr>
          <w:b/>
          <w:sz w:val="20"/>
        </w:rPr>
        <w:t>Quadro 8 – Tecnologias: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187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453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@azure/functions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4.16.5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modelo de programação v4, Node.js e TypeScript, sem Express (ADR-001)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Functions Core Tools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4.15.2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func</w:t>
            </w:r>
            <w:r>
              <w:rPr>
                <w:sz w:val="18"/>
              </w:rPr>
              <w:t>, instalado como dependência de desenvolvimento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keepNext/>
        <w:jc w:val="center"/>
      </w:pPr>
      <w:r>
        <w:rPr>
          <w:b/>
          <w:sz w:val="20"/>
        </w:rPr>
        <w:t>Quadro 9 – Tecnologias: Compartilhado e qualidade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187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453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6.0.3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modo estrito. A 7.0.2 é a mais nova do npm, mas </w:t>
            </w:r>
            <w:r>
              <w:rPr>
                <w:rFonts w:ascii="Consolas" w:hAnsi="Consolas" w:eastAsia="Consolas"/>
                <w:sz w:val="16"/>
              </w:rPr>
              <w:t>typescript-eslint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typedoc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 w:eastAsia="Consolas"/>
                <w:sz w:val="16"/>
              </w:rPr>
              <w:t>ts-jest</w:t>
            </w:r>
            <w:r>
              <w:rPr>
                <w:sz w:val="18"/>
              </w:rPr>
              <w:t xml:space="preserve"> ainda não a suportam; usar a 6.0.x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Zod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4.6.5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esquemas compartilhados (app, API e documentação)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@asteasolutions/zod-to-openapi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9.1.0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gera o OpenAPI 3.1 dos esquemas Zod (ADR-012)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Swagger UI (</w:t>
            </w:r>
            <w:r>
              <w:rPr>
                <w:rFonts w:ascii="Consolas" w:hAnsi="Consolas" w:eastAsia="Consolas"/>
                <w:sz w:val="16"/>
              </w:rPr>
              <w:t>swagger-ui-dist</w:t>
            </w:r>
            <w:r>
              <w:rPr>
                <w:sz w:val="18"/>
              </w:rPr>
              <w:t>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5.33.1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página </w:t>
            </w:r>
            <w:r>
              <w:rPr>
                <w:rFonts w:ascii="Consolas" w:hAnsi="Consolas" w:eastAsia="Consolas"/>
                <w:sz w:val="16"/>
              </w:rPr>
              <w:t>/api/docs</w:t>
            </w:r>
            <w:r>
              <w:rPr>
                <w:sz w:val="18"/>
              </w:rPr>
              <w:t>, carregada da CDN jsDelivr com a versão fixa e verificação de integridade (SRI sha384); não é dependência do projeto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Jest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30.5.2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e cobertura (limite de 80% por pacote)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ts-jest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29.4.14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@types/jest / @types/node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30.0.0 / 24.19.1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tipos de Node alinhados ao Node 24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ESLint / @eslint/js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10.12.0 / 10.0.1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configuração plana em </w:t>
            </w:r>
            <w:r>
              <w:rPr>
                <w:rFonts w:ascii="Consolas" w:hAnsi="Consolas" w:eastAsia="Consolas"/>
                <w:sz w:val="16"/>
              </w:rPr>
              <w:t>eslint.config.mjs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typescript-eslint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8.71.1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eslint-config-prettier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10.1.8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Prettier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3.9.9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Husky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9.1.7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ganchos do Git (lint e typecheck antes do commit)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commitlint (cli e config-conventional)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21.2.3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Conventional Commits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TypeDoc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0.28.20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npm run docs</w:t>
            </w:r>
            <w:r>
              <w:rPr>
                <w:sz w:val="18"/>
              </w:rPr>
              <w:t xml:space="preserve"> gera </w:t>
            </w:r>
            <w:r>
              <w:rPr>
                <w:rFonts w:ascii="Consolas" w:hAnsi="Consolas" w:eastAsia="Consolas"/>
                <w:sz w:val="16"/>
              </w:rPr>
              <w:t>docs/api</w:t>
            </w:r>
            <w:r>
              <w:rPr>
                <w:sz w:val="18"/>
              </w:rPr>
              <w:t xml:space="preserve"> (ignorado pelo Git)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keepNext/>
        <w:jc w:val="center"/>
      </w:pPr>
      <w:r>
        <w:rPr>
          <w:b/>
          <w:sz w:val="20"/>
        </w:rPr>
        <w:t>Quadro 10 – Tecnologias: Serviço de PLN (Python)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Pacote</w:t>
            </w:r>
          </w:p>
        </w:tc>
        <w:tc>
          <w:tcPr>
            <w:tcW w:type="dxa" w:w="187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453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scikit-learn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1.9.1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TF-IDF, SVM e calibração (classificador de intenções e busca)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numpy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2.5.3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dependência do scikit-learn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scipy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1.18.1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dependência do scikit-learn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joblib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1.6.0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dependência do scikit-learn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threadpoolctl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3.7.0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dependência do scikit-learn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azure-functions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2.3.0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modelo de programação Python v2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pytest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9.1.1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(somente desenvolvimento)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pytest-cov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7.1.0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cobertura (somente desenvolvimento)</w:t>
            </w:r>
          </w:p>
        </w:tc>
      </w:tr>
      <w:tr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mcr.microsoft.com/azure-functions/python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4-python3.13</w:t>
            </w:r>
          </w:p>
        </w:tc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host oficial das Functions no contêiner do PLN (só </w:t>
            </w:r>
            <w:r>
              <w:rPr>
                <w:rFonts w:ascii="Consolas" w:hAnsi="Consolas" w:eastAsia="Consolas"/>
                <w:sz w:val="16"/>
              </w:rPr>
              <w:t>linux/amd64</w:t>
            </w:r>
            <w:r>
              <w:rPr>
                <w:sz w:val="18"/>
              </w:rPr>
              <w:t>)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1"/>
      </w:pPr>
      <w:r>
        <w:t>5. Modelo de Dados</w:t>
      </w:r>
    </w:p>
    <w:p>
      <w:pPr>
        <w:pStyle w:val="Heading2"/>
      </w:pPr>
      <w:r>
        <w:t>5.1. Diagrama de Entidade-Relacionamento (DER)</w:t>
      </w:r>
    </w:p>
    <w:p>
      <w:r>
        <w:t xml:space="preserve">O banco é relacional (Azure SQL). O DER abaixo reflete o esquema real, criado pelas migrações </w:t>
      </w:r>
      <w:r>
        <w:rPr>
          <w:rFonts w:ascii="Consolas" w:hAnsi="Consolas" w:eastAsia="Consolas"/>
          <w:sz w:val="22"/>
        </w:rPr>
        <w:t>001</w:t>
      </w:r>
      <w:r>
        <w:t xml:space="preserve"> a </w:t>
      </w:r>
      <w:r>
        <w:rPr>
          <w:rFonts w:ascii="Consolas" w:hAnsi="Consolas" w:eastAsia="Consolas"/>
          <w:sz w:val="22"/>
        </w:rPr>
        <w:t>005</w:t>
      </w:r>
      <w:r>
        <w:t xml:space="preserve"> em </w:t>
      </w:r>
      <w:r>
        <w:rPr>
          <w:rFonts w:ascii="Consolas" w:hAnsi="Consolas" w:eastAsia="Consolas"/>
          <w:sz w:val="22"/>
        </w:rPr>
        <w:t>apps/api/db/migrations</w:t>
      </w:r>
      <w:r>
        <w:t xml:space="preserve">. Todo dado pertence a uma conta; a exclusão da conta apaga tudo em cascata (LGPD). O </w:t>
      </w:r>
      <w:r>
        <w:rPr>
          <w:b/>
        </w:rPr>
        <w:t>calendário vacinal oficial não fica no banco</w:t>
      </w:r>
      <w:r>
        <w:t>: é um conjunto de dados versionado no pacote compartilhado (</w:t>
      </w:r>
      <w:r>
        <w:rPr>
          <w:rFonts w:ascii="Consolas" w:hAnsi="Consolas" w:eastAsia="Consolas"/>
          <w:sz w:val="22"/>
        </w:rPr>
        <w:t>rule_id</w:t>
      </w:r>
      <w:r>
        <w:t xml:space="preserve"> em </w:t>
      </w:r>
      <w:r>
        <w:rPr>
          <w:rFonts w:ascii="Consolas" w:hAnsi="Consolas" w:eastAsia="Consolas"/>
          <w:sz w:val="22"/>
        </w:rPr>
        <w:t>dose</w:t>
      </w:r>
      <w:r>
        <w:t xml:space="preserve"> aponta para a linha do calendário), o que permite testá-lo e citar a versão. Não há CPF nem Cartão Nacional de Saúde.</w:t>
      </w:r>
    </w:p>
    <w:p>
      <w:pPr>
        <w:keepNext w:val="0"/>
        <w:jc w:val="center"/>
      </w:pPr>
      <w:r>
        <w:rPr>
          <w:b/>
          <w:sz w:val="20"/>
        </w:rPr>
        <w:t>Figura 2 – Diagrama de entidade-relacionamento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168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6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2"/>
      </w:pPr>
      <w:r>
        <w:t>5.2. Descrição das Entidades Principais</w:t>
      </w:r>
    </w:p>
    <w:p>
      <w:pPr>
        <w:keepNext/>
        <w:jc w:val="center"/>
      </w:pPr>
      <w:r>
        <w:rPr>
          <w:b/>
          <w:sz w:val="20"/>
        </w:rPr>
        <w:t>Quadro 11 – Entidades e atributos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Entidade</w:t>
            </w:r>
          </w:p>
        </w:tc>
        <w:tc>
          <w:tcPr>
            <w:tcW w:type="dxa" w:w="4706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Atributos (tipo)</w:t>
            </w:r>
          </w:p>
        </w:tc>
        <w:tc>
          <w:tcPr>
            <w:tcW w:type="dxa" w:w="255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Função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app_account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id (PK, VARCHAR 64); email (NVARCHAR 254, único); password_hash (VARCHAR 200); created_at (DATETIME2); reminders_enabled (BIT, padrão 1)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Conta de login. A senha fica só como hash scrypt.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refresh_token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token_hash (PK, CHAR 64); account_id (FK); expires_at; revoked_at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Tokens de renovação da sessão; só o hash é guardado; rotação e revogação por reuso.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password_reset_token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token_hash (PK, CHAR 64); account_id (FK); expires_at; used_at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Link de redefinição de senha (validade de 60 min, uso único).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consent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account_id (PK, FK); term_version (VARCHAR 20); accepted_at (DATETIME2); guardian_declaration (BIT)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Consentimento explícito (LGPD) e declaração de responsável legal.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member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id (PK, VARCHAR 64); account_id (FK); display_name (NVARCHAR 80); birth_date (DATE); is_pregnant (BIT); relationship (VARCHAR 20, opcional, 11 códigos)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Pessoa da família. Nome ou apelido, nascimento, gestação e parentesco.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dose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id (PK, VARCHAR 64); member_id (FK); rule_id (VARCHAR 80, nulo na dose avulsa); custom_vaccine (NVARCHAR 80); custom_dose_label (NVARCHAR 40); status (VARCHAR 10: PENDING, SCHEDULED, OVERDUE, APPLIED, CANCELLED); due_date, scheduled_date, applied_date (DATE)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Dose de cada pessoa, com o estado do ciclo de vida. A restrição </w:t>
            </w:r>
            <w:r>
              <w:rPr>
                <w:rFonts w:ascii="Consolas" w:hAnsi="Consolas" w:eastAsia="Consolas"/>
                <w:sz w:val="16"/>
              </w:rPr>
              <w:t>ck_dose_origin</w:t>
            </w:r>
            <w:r>
              <w:rPr>
                <w:sz w:val="18"/>
              </w:rPr>
              <w:t xml:space="preserve"> garante que a dose é oficial (rule_id) ou avulsa (nome e dose digitados), nunca as duas.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reminder_log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account_id (PK, FK); sent_on (PK, DATE)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No máximo um e-mail de lembrete por conta por dia (evita envio duplicado).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schema_migration</w:t>
            </w:r>
          </w:p>
        </w:tc>
        <w:tc>
          <w:tcPr>
            <w:tcW w:type="dxa" w:w="4706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name (PK); applied_at</w:t>
            </w:r>
          </w:p>
        </w:tc>
        <w:tc>
          <w:tcPr>
            <w:tcW w:type="dxa" w:w="255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Controle das migrações aplicadas.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r>
        <w:t xml:space="preserve">O dicionário de dados completo está em </w:t>
      </w:r>
      <w:r>
        <w:rPr>
          <w:rFonts w:ascii="Consolas" w:hAnsi="Consolas" w:eastAsia="Consolas"/>
          <w:sz w:val="22"/>
        </w:rPr>
        <w:t>docs/03-uml/dicionario-de-dados.md</w:t>
      </w:r>
      <w:r>
        <w:t xml:space="preserve">. Os identificadores são gerados pela API (UUID), e as datas civis usam </w:t>
      </w:r>
      <w:r>
        <w:rPr>
          <w:rFonts w:ascii="Consolas" w:hAnsi="Consolas" w:eastAsia="Consolas"/>
          <w:sz w:val="22"/>
        </w:rPr>
        <w:t>DATE</w:t>
      </w:r>
      <w:r>
        <w:t xml:space="preserve"> no calendário do Brasil.</w:t>
      </w:r>
    </w:p>
    <w:p>
      <w:pPr>
        <w:pStyle w:val="Heading1"/>
      </w:pPr>
      <w:r>
        <w:t>6. APIs (Application Programming Interfaces)</w:t>
      </w:r>
    </w:p>
    <w:p>
      <w:pPr>
        <w:pStyle w:val="Heading2"/>
      </w:pPr>
      <w:r>
        <w:t>6.1. Design da API</w:t>
      </w:r>
    </w:p>
    <w:p>
      <w:r>
        <w:t xml:space="preserve">A API é </w:t>
      </w:r>
      <w:r>
        <w:rPr>
          <w:b/>
        </w:rPr>
        <w:t>REST sobre HTTPS</w:t>
      </w:r>
      <w:r>
        <w:t xml:space="preserve">, em JSON, com prefixo </w:t>
      </w:r>
      <w:r>
        <w:rPr>
          <w:rFonts w:ascii="Consolas" w:hAnsi="Consolas" w:eastAsia="Consolas"/>
          <w:sz w:val="22"/>
        </w:rPr>
        <w:t>/api</w:t>
      </w:r>
      <w:r>
        <w:t xml:space="preserve">, documentada em </w:t>
      </w:r>
      <w:r>
        <w:rPr>
          <w:b/>
        </w:rPr>
        <w:t>OpenAPI 3.1</w:t>
      </w:r>
      <w:r>
        <w:t xml:space="preserve"> gerado dos mesmos esquemas Zod que validam as entradas (interface Swagger UI em </w:t>
      </w:r>
      <w:r>
        <w:rPr>
          <w:rFonts w:ascii="Consolas" w:hAnsi="Consolas" w:eastAsia="Consolas"/>
          <w:sz w:val="22"/>
        </w:rPr>
        <w:t>/api/docs</w:t>
      </w:r>
      <w:r>
        <w:t xml:space="preserve"> e especificação em </w:t>
      </w:r>
      <w:r>
        <w:rPr>
          <w:rFonts w:ascii="Consolas" w:hAnsi="Consolas" w:eastAsia="Consolas"/>
          <w:sz w:val="22"/>
        </w:rPr>
        <w:t>/api/openapi.json</w:t>
      </w:r>
      <w:r>
        <w:t>). Um teste garante que toda rota registrada está na especificação. Erros seguem um formato único (</w:t>
      </w:r>
      <w:r>
        <w:rPr>
          <w:rFonts w:ascii="Consolas" w:hAnsi="Consolas" w:eastAsia="Consolas"/>
          <w:sz w:val="22"/>
        </w:rPr>
        <w:t>code</w:t>
      </w:r>
      <w:r>
        <w:t xml:space="preserve"> e </w:t>
      </w:r>
      <w:r>
        <w:rPr>
          <w:rFonts w:ascii="Consolas" w:hAnsi="Consolas" w:eastAsia="Consolas"/>
          <w:sz w:val="22"/>
        </w:rPr>
        <w:t>message</w:t>
      </w:r>
      <w:r>
        <w:t xml:space="preserve"> em português, sem detalhe interno). O quadro a seguir lista as rotas.</w:t>
      </w:r>
    </w:p>
    <w:p>
      <w:pPr>
        <w:keepNext/>
        <w:jc w:val="center"/>
      </w:pPr>
      <w:r>
        <w:rPr>
          <w:b/>
          <w:sz w:val="20"/>
        </w:rPr>
        <w:t>Quadro 12 – Rotas da API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948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Rota</w:t>
            </w:r>
          </w:p>
        </w:tc>
        <w:tc>
          <w:tcPr>
            <w:tcW w:type="dxa" w:w="385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850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Exige login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/api/health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Verificação de saúde do serviço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/api/docs, /api/openapi.json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Documentação interativa e especificação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/api/auth/register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Criar conta (e-mail e senha)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/api/auth/login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Entrar; devolve token de acesso e de renovação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/api/auth/refresh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Renovar a sessão (rotação do token)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/api/auth/logout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Encerrar a sessão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/api/auth/forgot-password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Pedir link de redefinição por e-mail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/api/auth/reset-password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Criar nova senha com o token do e-mail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/api/auth/me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Dados da conta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GET, PUT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/api/consent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Consultar e registrar o consentimento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/api/account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Excluir a conta e todos os dados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GET, 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/api/members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Listar e cadastrar pessoas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GET, PUT, DELETE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/api/members/{id}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Consultar, editar e excluir uma pessoa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/api/members/{id}/doses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Calendário e doses da pessoa, com fonte e versão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/api/members/{id}/doses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Cadastrar dose avulsa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/api/doses/{id}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Consultar uma dose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/api/doses/{id}/events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Aplicar um evento do ciclo de vida (agendar, aplicar, cancelar...)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/api/reminders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Lembretes de hoje (atrasadas, hoje e próximos 7 dias)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/api/reminders/preferences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Ligar ou desligar o e-mail de lembretes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/api/assistant/message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Pergunta por texto ao assistente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/api/assistant/voice</w:t>
            </w:r>
          </w:p>
        </w:tc>
        <w:tc>
          <w:tcPr>
            <w:tcW w:type="dxa" w:w="385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Pergunta por voz (WAV 16 kHz, mono)</w:t>
            </w:r>
          </w:p>
        </w:tc>
        <w:tc>
          <w:tcPr>
            <w:tcW w:type="dxa" w:w="850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sim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r>
        <w:t xml:space="preserve">O serviço de PLN expõe, só para a API (chave da função), </w:t>
      </w:r>
      <w:r>
        <w:rPr>
          <w:rFonts w:ascii="Consolas" w:hAnsi="Consolas" w:eastAsia="Consolas"/>
          <w:sz w:val="22"/>
        </w:rPr>
        <w:t>POST /api/chat</w:t>
      </w:r>
      <w:r>
        <w:t xml:space="preserve">, </w:t>
      </w:r>
      <w:r>
        <w:rPr>
          <w:rFonts w:ascii="Consolas" w:hAnsi="Consolas" w:eastAsia="Consolas"/>
          <w:sz w:val="22"/>
        </w:rPr>
        <w:t>POST /api/search</w:t>
      </w:r>
      <w:r>
        <w:t xml:space="preserve"> e </w:t>
      </w:r>
      <w:r>
        <w:rPr>
          <w:rFonts w:ascii="Consolas" w:hAnsi="Consolas" w:eastAsia="Consolas"/>
          <w:sz w:val="22"/>
        </w:rPr>
        <w:t>GET /api/health</w:t>
      </w:r>
      <w:r>
        <w:t>. O aplicativo nunca o chama diretamente.</w:t>
      </w:r>
    </w:p>
    <w:p>
      <w:pPr>
        <w:pStyle w:val="Heading2"/>
      </w:pPr>
      <w:r>
        <w:t>6.2. Autenticação e Autorização</w:t>
      </w:r>
    </w:p>
    <w:p>
      <w:r>
        <w:t xml:space="preserve">O login é </w:t>
      </w:r>
      <w:r>
        <w:rPr>
          <w:b/>
        </w:rPr>
        <w:t>próprio</w:t>
      </w:r>
      <w:r>
        <w:t xml:space="preserve"> (ADR-014), porque o diretório da instituição não permite criar o tenant do Microsoft Entra External ID. O desenho é:</w:t>
      </w:r>
    </w:p>
    <w:p>
      <w:pPr>
        <w:pStyle w:val="ListBullet"/>
      </w:pPr>
      <w:r>
        <w:rPr>
          <w:b/>
        </w:rPr>
        <w:t>Senha:</w:t>
      </w:r>
      <w:r>
        <w:t xml:space="preserve"> mínimo de 8 caracteres, com recusa das mais comuns (NIST SP 800-63B); guardada só como hash </w:t>
      </w:r>
      <w:r>
        <w:rPr>
          <w:b/>
        </w:rPr>
        <w:t>scrypt</w:t>
      </w:r>
      <w:r>
        <w:t xml:space="preserve"> (N=2^15, r=8, p=3, sal aleatório, comparação em tempo constante).</w:t>
      </w:r>
    </w:p>
    <w:p>
      <w:pPr>
        <w:pStyle w:val="ListBullet"/>
      </w:pPr>
      <w:r>
        <w:rPr>
          <w:b/>
        </w:rPr>
        <w:t>Sessão:</w:t>
      </w:r>
      <w:r>
        <w:t xml:space="preserve"> JWT de acesso (HS256, 15 minutos) e token de renovação opaco, guardado só como hash, com </w:t>
      </w:r>
      <w:r>
        <w:rPr>
          <w:b/>
        </w:rPr>
        <w:t>rotação</w:t>
      </w:r>
      <w:r>
        <w:t xml:space="preserve"> a cada uso e </w:t>
      </w:r>
      <w:r>
        <w:rPr>
          <w:b/>
        </w:rPr>
        <w:t>revogação de todos os tokens ao detectar reuso</w:t>
      </w:r>
      <w:r>
        <w:t>.</w:t>
      </w:r>
    </w:p>
    <w:p>
      <w:pPr>
        <w:pStyle w:val="ListBullet"/>
      </w:pPr>
      <w:r>
        <w:rPr>
          <w:b/>
        </w:rPr>
        <w:t>Limites:</w:t>
      </w:r>
      <w:r>
        <w:t xml:space="preserve"> bloqueio por e-mail e por origem após falhas repetidas; limite de uso no assistente (60 mensagens por hora; voz com 20 por hora e 60 por dia por usuário); pedidos de recuperação limitados a 3 por hora por e-mail.</w:t>
      </w:r>
    </w:p>
    <w:p>
      <w:pPr>
        <w:pStyle w:val="ListBullet"/>
      </w:pPr>
      <w:r>
        <w:rPr>
          <w:b/>
        </w:rPr>
        <w:t>Autorização:</w:t>
      </w:r>
      <w:r>
        <w:t xml:space="preserve"> todo método de repositório recebe o dono; as consultas SQL filtram por </w:t>
      </w:r>
      <w:r>
        <w:rPr>
          <w:rFonts w:ascii="Consolas" w:hAnsi="Consolas" w:eastAsia="Consolas"/>
          <w:sz w:val="22"/>
        </w:rPr>
        <w:t>account_id</w:t>
      </w:r>
      <w:r>
        <w:t>. O ID vindo do cliente nunca basta (não há acesso a dados de outra conta).</w:t>
      </w:r>
    </w:p>
    <w:p>
      <w:pPr>
        <w:pStyle w:val="ListBullet"/>
      </w:pPr>
      <w:r>
        <w:rPr>
          <w:b/>
        </w:rPr>
        <w:t>No app:</w:t>
      </w:r>
      <w:r>
        <w:t xml:space="preserve"> token em armazenamento seguro no celular (</w:t>
      </w:r>
      <w:r>
        <w:rPr>
          <w:rFonts w:ascii="Consolas" w:hAnsi="Consolas" w:eastAsia="Consolas"/>
          <w:sz w:val="22"/>
        </w:rPr>
        <w:t>expo-secure-store</w:t>
      </w:r>
      <w:r>
        <w:t xml:space="preserve">) e em </w:t>
      </w:r>
      <w:r>
        <w:rPr>
          <w:rFonts w:ascii="Consolas" w:hAnsi="Consolas" w:eastAsia="Consolas"/>
          <w:sz w:val="22"/>
        </w:rPr>
        <w:t>sessionStorage</w:t>
      </w:r>
      <w:r>
        <w:t xml:space="preserve"> na web, com Content Security Policy (ADR-009).</w:t>
      </w:r>
    </w:p>
    <w:p>
      <w:pPr>
        <w:pStyle w:val="ListBullet"/>
      </w:pPr>
      <w:r>
        <w:rPr>
          <w:b/>
        </w:rPr>
        <w:t>Recursos de nuvem:</w:t>
      </w:r>
      <w:r>
        <w:t xml:space="preserve"> a API acessa o Azure SQL por </w:t>
      </w:r>
      <w:r>
        <w:rPr>
          <w:b/>
        </w:rPr>
        <w:t>identidade gerenciada</w:t>
      </w:r>
      <w:r>
        <w:t xml:space="preserve">, sem senha de banco (autenticação somente Entra); deploy por </w:t>
      </w:r>
      <w:r>
        <w:rPr>
          <w:b/>
        </w:rPr>
        <w:t>login federado (OIDC)</w:t>
      </w:r>
      <w:r>
        <w:t>, sem segredo guardado; HTTPS obrigatório, TLS 1.2, FTPS apenas, CORS restrito ao endereço do app web; cabeçalhos de segurança (</w:t>
      </w:r>
      <w:r>
        <w:rPr>
          <w:rFonts w:ascii="Consolas" w:hAnsi="Consolas" w:eastAsia="Consolas"/>
          <w:sz w:val="22"/>
        </w:rPr>
        <w:t>nosniff</w:t>
      </w:r>
      <w:r>
        <w:t xml:space="preserve">, </w:t>
      </w:r>
      <w:r>
        <w:rPr>
          <w:rFonts w:ascii="Consolas" w:hAnsi="Consolas" w:eastAsia="Consolas"/>
          <w:sz w:val="22"/>
        </w:rPr>
        <w:t>no-store</w:t>
      </w:r>
      <w:r>
        <w:t>, HSTS) em todas as respostas.</w:t>
      </w:r>
    </w:p>
    <w:p>
      <w:r>
        <w:t xml:space="preserve">O checklist OWASP Top 10 completo, com lacunas e recomendações, está em </w:t>
      </w:r>
      <w:r>
        <w:rPr>
          <w:rFonts w:ascii="Consolas" w:hAnsi="Consolas" w:eastAsia="Consolas"/>
          <w:sz w:val="22"/>
        </w:rPr>
        <w:t>docs/21-seguranca-owasp-e-carga.md</w:t>
      </w:r>
      <w:r>
        <w:t>.</w:t>
      </w:r>
    </w:p>
    <w:p>
      <w:pPr>
        <w:pStyle w:val="Heading1"/>
      </w:pPr>
      <w:r>
        <w:t>7. Computação em Nuvem (Azure)</w:t>
      </w:r>
    </w:p>
    <w:p>
      <w:pPr>
        <w:pStyle w:val="Heading2"/>
      </w:pPr>
      <w:r>
        <w:t>7.1. Serviços Azure Utilizados</w:t>
      </w:r>
    </w:p>
    <w:p>
      <w:r>
        <w:t xml:space="preserve">Tudo foi criado em 06/10/2026 na assinatura Azure for Students, região Brazil South (exceto o Static Web Apps, que não existe no Brasil e fica em Central US), no grupo de recursos </w:t>
      </w:r>
      <w:r>
        <w:rPr>
          <w:rFonts w:ascii="Consolas" w:hAnsi="Consolas" w:eastAsia="Consolas"/>
          <w:sz w:val="22"/>
        </w:rPr>
        <w:t>rg-vacinaemdia</w:t>
      </w:r>
      <w:r>
        <w:t>.</w:t>
      </w:r>
    </w:p>
    <w:p>
      <w:pPr>
        <w:keepNext/>
        <w:jc w:val="center"/>
      </w:pPr>
      <w:r>
        <w:rPr>
          <w:b/>
          <w:sz w:val="20"/>
        </w:rPr>
        <w:t>Quadro 13 – Recursos criados na Azure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Recurso</w:t>
            </w:r>
          </w:p>
        </w:tc>
        <w:tc>
          <w:tcPr>
            <w:tcW w:type="dxa" w:w="2268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Nome</w:t>
            </w:r>
          </w:p>
        </w:tc>
        <w:tc>
          <w:tcPr>
            <w:tcW w:type="dxa" w:w="249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Camada</w:t>
            </w:r>
          </w:p>
        </w:tc>
        <w:tc>
          <w:tcPr>
            <w:tcW w:type="dxa" w:w="249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Observação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Grupo de recursos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rg-vacinaemdia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 xml:space="preserve">Tag </w:t>
            </w:r>
            <w:r>
              <w:rPr>
                <w:rFonts w:ascii="Consolas" w:hAnsi="Consolas" w:eastAsia="Consolas"/>
                <w:sz w:val="14"/>
              </w:rPr>
              <w:t>projeto=vacina-em-dia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Function App (API)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func-vacinaemdia-vedia6398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Flex Consumption (Linux, Node 24, 512 MB)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Identidade gerenciada ligada; HTTPS obrigatório, TLS 1.2, FTPS desligado; CORS só para o app web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Static Web Apps (app web)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swa-vacinaemdia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Free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https://blue-rock-0d7abc710.4.azurestaticapps.net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Azure SQL Server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sql-vacinaemdia-vedia6398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 xml:space="preserve">Autenticação </w:t>
            </w:r>
            <w:r>
              <w:rPr>
                <w:b/>
                <w:sz w:val="16"/>
              </w:rPr>
              <w:t>somente Microsoft Entra</w:t>
            </w:r>
            <w:r>
              <w:rPr>
                <w:sz w:val="16"/>
              </w:rPr>
              <w:t xml:space="preserve"> (sem senha de SQL); TLS 1.2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Banco de dados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sqldb-vacinaemdia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Serverless GP_S_Gen5, oferta gratuita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 xml:space="preserve">Ao esgotar a franquia gratuita: </w:t>
            </w:r>
            <w:r>
              <w:rPr>
                <w:b/>
                <w:sz w:val="16"/>
              </w:rPr>
              <w:t>pausa automática</w:t>
            </w:r>
            <w:r>
              <w:rPr>
                <w:sz w:val="16"/>
              </w:rPr>
              <w:t xml:space="preserve"> (sem cobrança)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Key Vault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kv-vedia6398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Acesso por RBAC; a identidade da Function recebe "Key Vault Secrets User"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Application Insights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appi-vacinaemdia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Por uso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 xml:space="preserve">Ligado ao workspace </w:t>
            </w:r>
            <w:r>
              <w:rPr>
                <w:rFonts w:ascii="Consolas" w:hAnsi="Consolas" w:eastAsia="Consolas"/>
                <w:sz w:val="14"/>
              </w:rPr>
              <w:t>log-vacinaemdia</w:t>
            </w:r>
            <w:r>
              <w:rPr>
                <w:sz w:val="16"/>
              </w:rPr>
              <w:t xml:space="preserve"> (retenção de 30 dias, teto diário de 0,1 GB)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Function App (PLN)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func-nlp-vacinaemdia-vedia6398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Flex Consumption (Linux, Python 3.13, 512 MB, 1 instância sempre pronta, paralelismo HTTP 8)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 xml:space="preserve">Chatbot e busca; </w:t>
            </w:r>
            <w:r>
              <w:rPr>
                <w:rFonts w:ascii="Consolas" w:hAnsi="Consolas" w:eastAsia="Consolas"/>
                <w:sz w:val="14"/>
              </w:rPr>
              <w:t>/chat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 w:eastAsia="Consolas"/>
                <w:sz w:val="14"/>
              </w:rPr>
              <w:t>/search</w:t>
            </w:r>
            <w:r>
              <w:rPr>
                <w:sz w:val="16"/>
              </w:rPr>
              <w:t xml:space="preserve"> exigem a chave da função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Azure AI Speech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spch-vacinaemdia-vedia6398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F0 (gratuito), Brazil South, subdomínio próprio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Reconhecimento de fala pt-BR; 5 horas de áudio por mês na camada gratuita (ADR-003)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Armazenamento</w:t>
            </w:r>
          </w:p>
        </w:tc>
        <w:tc>
          <w:tcPr>
            <w:tcW w:type="dxa" w:w="2268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4"/>
              </w:rPr>
              <w:t>stvedia6398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Standard LRS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Exigido pelas Functions; acesso público a blobs desligado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r>
        <w:t xml:space="preserve">Fora da Azure, o projeto usa o </w:t>
      </w:r>
      <w:r>
        <w:rPr>
          <w:b/>
        </w:rPr>
        <w:t>Brevo</w:t>
      </w:r>
      <w:r>
        <w:t xml:space="preserve"> (e-mail transacional, plano gratuito) e o </w:t>
      </w:r>
      <w:r>
        <w:rPr>
          <w:b/>
        </w:rPr>
        <w:t>GitHub</w:t>
      </w:r>
      <w:r>
        <w:t xml:space="preserve"> (código e Actions). O </w:t>
      </w:r>
      <w:r>
        <w:rPr>
          <w:b/>
        </w:rPr>
        <w:t>Key Vault</w:t>
      </w:r>
      <w:r>
        <w:t xml:space="preserve"> existe e a identidade da API tem o papel de leitura, mas as chaves do login e do Brevo ainda estão como configuração da Function App, porque falta ao autor o papel de escrita no cofre (pendência registrada).</w:t>
      </w:r>
    </w:p>
    <w:p>
      <w:pPr>
        <w:pStyle w:val="Heading2"/>
      </w:pPr>
      <w:r>
        <w:t>7.2. Arquitetura de Deploy</w:t>
      </w:r>
    </w:p>
    <w:p>
      <w:r>
        <w:t xml:space="preserve">O </w:t>
      </w:r>
      <w:r>
        <w:rPr>
          <w:b/>
        </w:rPr>
        <w:t>CI</w:t>
      </w:r>
      <w:r>
        <w:t xml:space="preserve"> (GitHub Actions) roda em todo push e pull request: instalação, formatação, lint, tipos, build, testes com cobertura (mínimo de 80%), TypeDoc, </w:t>
      </w:r>
      <w:r>
        <w:rPr>
          <w:rFonts w:ascii="Consolas" w:hAnsi="Consolas" w:eastAsia="Consolas"/>
          <w:sz w:val="22"/>
        </w:rPr>
        <w:t>npm audit</w:t>
      </w:r>
      <w:r>
        <w:t xml:space="preserve">, </w:t>
      </w:r>
      <w:r>
        <w:rPr>
          <w:rFonts w:ascii="Consolas" w:hAnsi="Consolas" w:eastAsia="Consolas"/>
          <w:sz w:val="22"/>
        </w:rPr>
        <w:t>pip-audit</w:t>
      </w:r>
      <w:r>
        <w:t xml:space="preserve"> e construção das imagens Docker com teste de fumaça. O </w:t>
      </w:r>
      <w:r>
        <w:rPr>
          <w:b/>
        </w:rPr>
        <w:t>deploy</w:t>
      </w:r>
      <w:r>
        <w:t xml:space="preserve"> roda ao integrar na </w:t>
      </w:r>
      <w:r>
        <w:rPr>
          <w:rFonts w:ascii="Consolas" w:hAnsi="Consolas" w:eastAsia="Consolas"/>
          <w:sz w:val="22"/>
        </w:rPr>
        <w:t>main</w:t>
      </w:r>
      <w:r>
        <w:t xml:space="preserve">: login federado (OIDC) com papel Contributor só no grupo de recursos, publicação da API e do app web. As </w:t>
      </w:r>
      <w:r>
        <w:rPr>
          <w:b/>
        </w:rPr>
        <w:t>migrações do banco</w:t>
      </w:r>
      <w:r>
        <w:t xml:space="preserve"> não vão no deploy; são aplicadas à mão com </w:t>
      </w:r>
      <w:r>
        <w:rPr>
          <w:rFonts w:ascii="Consolas" w:hAnsi="Consolas" w:eastAsia="Consolas"/>
          <w:sz w:val="22"/>
        </w:rPr>
        <w:t>scripts/db-migrate.mjs</w:t>
      </w:r>
      <w:r>
        <w:t xml:space="preserve"> (com </w:t>
      </w:r>
      <w:r>
        <w:rPr>
          <w:rFonts w:ascii="Consolas" w:hAnsi="Consolas" w:eastAsia="Consolas"/>
          <w:sz w:val="22"/>
        </w:rPr>
        <w:t>az login</w:t>
      </w:r>
      <w:r>
        <w:t xml:space="preserve">), antes de publicar código que dependa delas. O ambiente local completo sobe com </w:t>
      </w:r>
      <w:r>
        <w:rPr>
          <w:rFonts w:ascii="Consolas" w:hAnsi="Consolas" w:eastAsia="Consolas"/>
          <w:sz w:val="22"/>
        </w:rPr>
        <w:t>docker compose up --build</w:t>
      </w:r>
      <w:r>
        <w:t xml:space="preserve"> (API, PLN, app web e Azurite).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keepNext w:val="0"/>
        <w:jc w:val="center"/>
      </w:pPr>
      <w:r>
        <w:rPr>
          <w:b/>
          <w:sz w:val="20"/>
        </w:rPr>
        <w:t>Figura 3 – Fluxo de entrega e implantação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325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32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Fonte: Elaborado pelo autor (2026).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7.3. Monitoramento e Logs</w:t>
      </w:r>
    </w:p>
    <w:p>
      <w:r>
        <w:t xml:space="preserve">O </w:t>
      </w:r>
      <w:r>
        <w:rPr>
          <w:b/>
        </w:rPr>
        <w:t>Application Insights</w:t>
      </w:r>
      <w:r>
        <w:t xml:space="preserve"> (ligado ao workspace </w:t>
      </w:r>
      <w:r>
        <w:rPr>
          <w:rFonts w:ascii="Consolas" w:hAnsi="Consolas" w:eastAsia="Consolas"/>
          <w:sz w:val="22"/>
        </w:rPr>
        <w:t>log-vacinaemdia</w:t>
      </w:r>
      <w:r>
        <w:t xml:space="preserve">, retenção de 30 dias e teto diário de 0,1 GB) coleta logs e métricas da API e do PLN. Por regra do projeto, </w:t>
      </w:r>
      <w:r>
        <w:rPr>
          <w:b/>
        </w:rPr>
        <w:t>logs não contêm dados pessoais</w:t>
      </w:r>
      <w:r>
        <w:t xml:space="preserve"> (nem nome, nem e-mail, nem texto de mensagem): só o tipo do erro e contagens; a rotina de lembretes registra apenas totais. Os serviços respondem em </w:t>
      </w:r>
      <w:r>
        <w:rPr>
          <w:rFonts w:ascii="Consolas" w:hAnsi="Consolas" w:eastAsia="Consolas"/>
          <w:sz w:val="22"/>
        </w:rPr>
        <w:t>/api/health</w:t>
      </w:r>
      <w:r>
        <w:t>.</w:t>
      </w:r>
    </w:p>
    <w:p>
      <w:r>
        <w:rPr>
          <w:b/>
        </w:rPr>
        <w:t>Limitações verificadas em 07/10/2026:</w:t>
      </w:r>
      <w:r>
        <w:t xml:space="preserve"> ainda não há painéis nem alertas, e a consulta à tabela de requisições do Application Insights veio vazia, de modo que é preciso conferir se a telemetria está chegando. Isso consta como risco e recomendação em </w:t>
      </w:r>
      <w:r>
        <w:rPr>
          <w:rFonts w:ascii="Consolas" w:hAnsi="Consolas" w:eastAsia="Consolas"/>
          <w:sz w:val="22"/>
        </w:rPr>
        <w:t>docs/21-seguranca-owasp-e-carga.md</w:t>
      </w:r>
      <w:r>
        <w:t>.</w:t>
      </w:r>
    </w:p>
    <w:p>
      <w:pPr>
        <w:pStyle w:val="Heading2"/>
      </w:pPr>
      <w:r>
        <w:t>7.4. Estimativa de Custos</w:t>
      </w:r>
    </w:p>
    <w:p>
      <w:r>
        <w:t xml:space="preserve">Os preços foram obtidos da API de preços oficial da Azure em 07/10/2026 (detalhes e contas em </w:t>
      </w:r>
      <w:r>
        <w:rPr>
          <w:rFonts w:ascii="Consolas" w:hAnsi="Consolas" w:eastAsia="Consolas"/>
          <w:sz w:val="22"/>
        </w:rPr>
        <w:t>docs/16-custos-azure.md</w:t>
      </w:r>
      <w:r>
        <w:t xml:space="preserve">). O custo mensal estimado hoje é de </w:t>
      </w:r>
      <w:r>
        <w:rPr>
          <w:b/>
        </w:rPr>
        <w:t>cerca de US$ 13</w:t>
      </w:r>
      <w:r>
        <w:t>, quase todo das duas instâncias sempre prontas (PLN e API, cerca de US$ 6,50 cada, 512 MB). Sem elas, o custo seria perto de zero, mas a primeira pergunta ao assistente após ociosidade levaria cerca de 50 s (partida a frio do serviço de ML), e a API apresentou respostas 503 intermitentes sob rajadas.</w:t>
      </w:r>
    </w:p>
    <w:p>
      <w:pPr>
        <w:keepNext/>
        <w:jc w:val="center"/>
      </w:pPr>
      <w:r>
        <w:rPr>
          <w:b/>
          <w:sz w:val="20"/>
        </w:rPr>
        <w:t>Quadro 14 – Estimativa mensal por serviço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83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Serviço</w:t>
            </w:r>
          </w:p>
        </w:tc>
        <w:tc>
          <w:tcPr>
            <w:tcW w:type="dxa" w:w="3969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Camada</w:t>
            </w:r>
          </w:p>
        </w:tc>
        <w:tc>
          <w:tcPr>
            <w:tcW w:type="dxa" w:w="215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Estimativa mensal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Functions, API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Flex Consumption, 1 instância sempre pronta, 512 MB</w:t>
            </w:r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cerca de US$ 6,50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Functions, PLN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Flex Consumption, 1 instância sempre pronta, 512 MB</w:t>
            </w:r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cerca de US$ 6,50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SQL Database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Uso Geral serverless, oferta gratuita (pausa automática)</w:t>
            </w:r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US$ 0 dentro da franquia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Static Web Apps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Free</w:t>
            </w:r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US$ 0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AI Speech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F0 (gratuita)</w:t>
            </w:r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US$ 0 dentro da franquia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Key Vault, Application Insights, Armazenamento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Standard, por uso, LRS</w:t>
            </w:r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menos de US$ 1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Brevo (e-mail)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Plano gratuito (300 e-mails por dia), fora da Azure</w:t>
            </w:r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US$ 0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left"/>
            </w:pPr>
            <w:r/>
            <w:r>
              <w:rPr>
                <w:b/>
                <w:sz w:val="18"/>
              </w:rPr>
              <w:t>Total estimado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</w:p>
        </w:tc>
        <w:tc>
          <w:tcPr>
            <w:tcW w:type="dxa" w:w="2154"/>
          </w:tcPr>
          <w:p>
            <w:pPr>
              <w:spacing w:after="40" w:line="240" w:lineRule="auto"/>
              <w:jc w:val="left"/>
            </w:pPr>
            <w:r/>
            <w:r>
              <w:rPr>
                <w:b/>
                <w:sz w:val="18"/>
              </w:rPr>
              <w:t>cerca de US$ 13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r>
        <w:t>Valores a confirmar na calculadora oficial: limites exatos das ofertas gratuitas (SQL e Speech) e o saldo do crédito do Azure for Students.</w:t>
      </w:r>
    </w:p>
    <w:p>
      <w:pPr>
        <w:pStyle w:val="Heading1"/>
      </w:pPr>
      <w:r>
        <w:t>8. Qualidade e Testes de Software</w:t>
      </w:r>
    </w:p>
    <w:p>
      <w:pPr>
        <w:pStyle w:val="Heading2"/>
      </w:pPr>
      <w:r>
        <w:t>8.1. Estratégia de Testes</w:t>
      </w:r>
    </w:p>
    <w:p>
      <w:r>
        <w:t>Seguimos a pirâmide de testes, com testes escritos junto com o código e o ID do caso (</w:t>
      </w:r>
      <w:r>
        <w:rPr>
          <w:rFonts w:ascii="Consolas" w:hAnsi="Consolas" w:eastAsia="Consolas"/>
          <w:sz w:val="22"/>
        </w:rPr>
        <w:t>CT-...</w:t>
      </w:r>
      <w:r>
        <w:t>) no nome de cada teste, para rastreabilidade (</w:t>
      </w:r>
      <w:r>
        <w:rPr>
          <w:rFonts w:ascii="Consolas" w:hAnsi="Consolas" w:eastAsia="Consolas"/>
          <w:sz w:val="22"/>
        </w:rPr>
        <w:t>docs/19-rastreabilidade.md</w:t>
      </w:r>
      <w:r>
        <w:t>).</w:t>
      </w:r>
    </w:p>
    <w:p>
      <w:pPr>
        <w:pStyle w:val="ListBullet"/>
      </w:pPr>
      <w:r>
        <w:rPr>
          <w:b/>
        </w:rPr>
        <w:t>Unitários:</w:t>
      </w:r>
      <w:r>
        <w:t xml:space="preserve"> domínio puro (máquina de estados da dose com </w:t>
      </w:r>
      <w:r>
        <w:rPr>
          <w:rFonts w:ascii="Consolas" w:hAnsi="Consolas" w:eastAsia="Consolas"/>
          <w:sz w:val="22"/>
        </w:rPr>
        <w:t>test.each</w:t>
      </w:r>
      <w:r>
        <w:t xml:space="preserve"> na matriz de transições, geração de doses, calendário, regras de lembrete), serviços, validação Zod e utilidades do app, com relógio controlado nos limites de data.</w:t>
      </w:r>
    </w:p>
    <w:p>
      <w:pPr>
        <w:pStyle w:val="ListBullet"/>
      </w:pPr>
      <w:r>
        <w:rPr>
          <w:b/>
        </w:rPr>
        <w:t>De estados e transições:</w:t>
      </w:r>
      <w:r>
        <w:t xml:space="preserve"> 42 casos (estados, 12 transições, guardas, inválidas e caminhos) automatizados e documentados (</w:t>
      </w:r>
      <w:r>
        <w:rPr>
          <w:rFonts w:ascii="Consolas" w:hAnsi="Consolas" w:eastAsia="Consolas"/>
          <w:sz w:val="22"/>
        </w:rPr>
        <w:t>docs/07-testes/casos-teste-estados-dose.md</w:t>
      </w:r>
      <w:r>
        <w:t>).</w:t>
      </w:r>
    </w:p>
    <w:p>
      <w:pPr>
        <w:pStyle w:val="ListBullet"/>
      </w:pPr>
      <w:r>
        <w:rPr>
          <w:b/>
        </w:rPr>
        <w:t>Caixa preta:</w:t>
      </w:r>
      <w:r>
        <w:t xml:space="preserve"> 179 casos de partição de equivalência e análise de valor limite sobre os handlers reais (cadastro, login, recuperação de senha, consentimento, pessoas, parentesco, doses, dose avulsa e assistente), com tabela de execução do resultado obtido (</w:t>
      </w:r>
      <w:r>
        <w:rPr>
          <w:rFonts w:ascii="Consolas" w:hAnsi="Consolas" w:eastAsia="Consolas"/>
          <w:sz w:val="22"/>
        </w:rPr>
        <w:t>docs/07-testes/caixa-preta-execucao.md</w:t>
      </w:r>
      <w:r>
        <w:t>); 179 de 179 aprovados.</w:t>
      </w:r>
    </w:p>
    <w:p>
      <w:pPr>
        <w:pStyle w:val="ListBullet"/>
      </w:pPr>
      <w:r>
        <w:rPr>
          <w:b/>
        </w:rPr>
        <w:t>De integração e de contrato:</w:t>
      </w:r>
      <w:r>
        <w:t xml:space="preserve"> API com repositórios em memória e, à parte, testes de contrato contra o Azure SQL real (executados com o banco disponível); telas do app com Testing Library.</w:t>
      </w:r>
    </w:p>
    <w:p>
      <w:pPr>
        <w:pStyle w:val="ListBullet"/>
      </w:pPr>
      <w:r>
        <w:rPr>
          <w:b/>
        </w:rPr>
        <w:t>Do serviço de PLN:</w:t>
      </w:r>
      <w:r>
        <w:t xml:space="preserve"> pytest com conjunto de teste separado do treino (100 frases), testes de segurança do chatbot e da busca.</w:t>
      </w:r>
    </w:p>
    <w:p>
      <w:pPr>
        <w:pStyle w:val="ListBullet"/>
      </w:pPr>
      <w:r>
        <w:rPr>
          <w:b/>
        </w:rPr>
        <w:t>De segurança e desempenho:</w:t>
      </w:r>
      <w:r>
        <w:t xml:space="preserve"> checklist OWASP Top 10 (</w:t>
      </w:r>
      <w:r>
        <w:rPr>
          <w:rFonts w:ascii="Consolas" w:hAnsi="Consolas" w:eastAsia="Consolas"/>
          <w:sz w:val="22"/>
        </w:rPr>
        <w:t>docs/21</w:t>
      </w:r>
      <w:r>
        <w:t xml:space="preserve">), </w:t>
      </w:r>
      <w:r>
        <w:rPr>
          <w:rFonts w:ascii="Consolas" w:hAnsi="Consolas" w:eastAsia="Consolas"/>
          <w:sz w:val="22"/>
        </w:rPr>
        <w:t>npm audit</w:t>
      </w:r>
      <w:r>
        <w:t xml:space="preserve"> e </w:t>
      </w:r>
      <w:r>
        <w:rPr>
          <w:rFonts w:ascii="Consolas" w:hAnsi="Consolas" w:eastAsia="Consolas"/>
          <w:sz w:val="22"/>
        </w:rPr>
        <w:t>pip-audit</w:t>
      </w:r>
      <w:r>
        <w:t xml:space="preserve"> no CI, GitGuardian para segredos, e carga leve com </w:t>
      </w:r>
      <w:r>
        <w:rPr>
          <w:rFonts w:ascii="Consolas" w:hAnsi="Consolas" w:eastAsia="Consolas"/>
          <w:sz w:val="22"/>
        </w:rPr>
        <w:t>scripts/carga-leve.mjs</w:t>
      </w:r>
      <w:r>
        <w:t>.</w:t>
      </w:r>
    </w:p>
    <w:p>
      <w:pPr>
        <w:pStyle w:val="ListBullet"/>
      </w:pPr>
      <w:r>
        <w:rPr>
          <w:b/>
        </w:rPr>
        <w:t>De acessibilidade:</w:t>
      </w:r>
      <w:r>
        <w:t xml:space="preserve"> contraste calculado dos tokens (WCAG 2.1 AA) e medido no navegador nos temas escuro e alto contraste. Leitor de tela ainda não foi testado.</w:t>
      </w:r>
    </w:p>
    <w:p>
      <w:pPr>
        <w:pStyle w:val="Heading2"/>
      </w:pPr>
      <w:r>
        <w:t>8.2. Ferramentas de Teste</w:t>
      </w:r>
    </w:p>
    <w:p>
      <w:pPr>
        <w:keepNext/>
        <w:jc w:val="center"/>
      </w:pPr>
      <w:r>
        <w:rPr>
          <w:b/>
          <w:sz w:val="20"/>
        </w:rPr>
        <w:t>Quadro 15 – Ferramentas de teste e versões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948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204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3969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Jest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30.5.2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e cobertura da API, do pacote compartilhado e do app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ts-jest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29.4.14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TypeScript no Jest (API e compartilhado)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jest-expo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57.0.5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Ambiente de teste do app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@testing-library/react-native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14.0.1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das telas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pytest / pytest-cov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9.1.1 / 7.1.0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Testes e cobertura do serviço de PLN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ESLint / Prettier / TypeScript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10.12.0 / 3.9.9 / 6.0.3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Análise estática e formatação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npm audit / pip-audit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npm 11.19.0 / 2.10.1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Vulnerabilidades de dependências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scripts/carga-leve.mjs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n/a (Node 24)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Carga leve (p50, p90, p95 e falhas)</w:t>
            </w:r>
          </w:p>
        </w:tc>
      </w:tr>
      <w:tr>
        <w:tc>
          <w:tcPr>
            <w:tcW w:type="dxa" w:w="2948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GitHub Actions</w:t>
            </w:r>
          </w:p>
        </w:tc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n/a</w:t>
            </w:r>
          </w:p>
        </w:tc>
        <w:tc>
          <w:tcPr>
            <w:tcW w:type="dxa" w:w="3969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Pipeline de integração contínua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2"/>
      </w:pPr>
      <w:r>
        <w:t>8.3. Cobertura de Testes</w:t>
      </w:r>
    </w:p>
    <w:p>
      <w:r>
        <w:t xml:space="preserve">A meta própria é de </w:t>
      </w:r>
      <w:r>
        <w:rPr>
          <w:b/>
        </w:rPr>
        <w:t>90%</w:t>
      </w:r>
      <w:r>
        <w:t xml:space="preserve"> e o mínimo exigido é de </w:t>
      </w:r>
      <w:r>
        <w:rPr>
          <w:b/>
        </w:rPr>
        <w:t>80%</w:t>
      </w:r>
      <w:r>
        <w:t xml:space="preserve">; o limite de 80% está configurado no Jest e </w:t>
      </w:r>
      <w:r>
        <w:rPr>
          <w:b/>
        </w:rPr>
        <w:t>o pipeline falha abaixo dele</w:t>
      </w:r>
      <w:r>
        <w:t>. Em 07/10/2026, todos os testes passam: 231 no pacote compartilhado, 513 na API (mais 12 de contrato do Azure SQL, que só rodam com o banco), 328 no app e as funções de teste do PLN (pytest, com exigência de 80% também). A cobertura de linhas dos três pacotes TypeScript ficou entre 94% e 97% na última medição.</w:t>
      </w:r>
    </w:p>
    <w:p>
      <w:r>
        <w:t>Pendências de qualidade: leitor de tela, execução em iOS e teste de carga das rotas autenticadas da produção; a tabela de execução dos testes de estados e dos demais testes automatizados vem do CI.</w:t>
      </w:r>
    </w:p>
    <w:p>
      <w:pPr>
        <w:pStyle w:val="Heading1"/>
      </w:pPr>
      <w:r>
        <w:t>9. Processamento de Linguagem Natural (PLN)</w:t>
      </w:r>
    </w:p>
    <w:p>
      <w:pPr>
        <w:pStyle w:val="Heading2"/>
      </w:pPr>
      <w:r>
        <w:t>9.1. Funcionalidades de PLN</w:t>
      </w:r>
    </w:p>
    <w:p>
      <w:pPr>
        <w:pStyle w:val="ListBullet"/>
      </w:pPr>
      <w:r>
        <w:rPr>
          <w:b/>
        </w:rPr>
        <w:t>Reconhecimento de voz (RF06):</w:t>
      </w:r>
      <w:r>
        <w:t xml:space="preserve"> a pergunta falada é transcrita pelo Azure AI Speech (pt-BR) e vira uma busca por vacinas e calendário.</w:t>
      </w:r>
    </w:p>
    <w:p>
      <w:pPr>
        <w:pStyle w:val="ListBullet"/>
      </w:pPr>
      <w:r>
        <w:rPr>
          <w:b/>
        </w:rPr>
        <w:t>Chatbot (RF07):</w:t>
      </w:r>
      <w:r>
        <w:t xml:space="preserve"> responde dúvidas frequentes sobre o app e sobre vacinas do calendário oficial, por </w:t>
      </w:r>
      <w:r>
        <w:rPr>
          <w:b/>
        </w:rPr>
        <w:t>regras e classificação de intenções</w:t>
      </w:r>
      <w:r>
        <w:t xml:space="preserve">, </w:t>
      </w:r>
      <w:r>
        <w:rPr>
          <w:b/>
        </w:rPr>
        <w:t>sem IA generativa</w:t>
      </w:r>
      <w:r>
        <w:t>. Perguntas de saúde individual (sintoma, reação, remédio) não passam pelo modelo: o assistente diz que não dá orientação médica e orienta procurar um profissional ou a unidade de saúde (SAMU 192).</w:t>
      </w:r>
    </w:p>
    <w:p>
      <w:pPr>
        <w:pStyle w:val="ListBullet"/>
      </w:pPr>
      <w:r>
        <w:rPr>
          <w:b/>
        </w:rPr>
        <w:t>Busca semântica (voz):</w:t>
      </w:r>
      <w:r>
        <w:t xml:space="preserve"> devolve até 5 vacinas parecidas com a pergunta, com doenças e indicações do calendário.</w:t>
      </w:r>
    </w:p>
    <w:p>
      <w:pPr>
        <w:pStyle w:val="Heading2"/>
      </w:pPr>
      <w:r>
        <w:t>9.2. Tecnologias e Modelos</w:t>
      </w:r>
    </w:p>
    <w:p>
      <w:pPr>
        <w:keepNext/>
        <w:jc w:val="center"/>
      </w:pPr>
      <w:r>
        <w:rPr>
          <w:b/>
          <w:sz w:val="20"/>
        </w:rPr>
        <w:t>Quadro 16 – Tecnologias de PLN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2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351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Classificador de intenções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scikit-learn 1.9.1: TF-IDF + SVM (com calibração)</w:t>
            </w:r>
          </w:p>
        </w:tc>
        <w:tc>
          <w:tcPr>
            <w:tcW w:type="dxa" w:w="351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20 intenções; limiar de confiança de 0,40 (abaixo, devolve a resposta padrão que orienta procurar um profissional)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Busca semântica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TF-IDF de n-gramas de caracteres (3 a 5) + LSA (SVD truncado, 12 temas)</w:t>
            </w:r>
          </w:p>
        </w:tc>
        <w:tc>
          <w:tcPr>
            <w:tcW w:type="dxa" w:w="351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Peso de 0,3 para o LSA; nota mínima de 0,35; índice montado na partida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Respostas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Texto curado em </w:t>
            </w:r>
            <w:r>
              <w:rPr>
                <w:rFonts w:ascii="Consolas" w:hAnsi="Consolas" w:eastAsia="Consolas"/>
                <w:sz w:val="16"/>
              </w:rPr>
              <w:t>responses.json</w:t>
            </w:r>
            <w:r>
              <w:rPr>
                <w:sz w:val="18"/>
              </w:rPr>
              <w:t xml:space="preserve"> e montado a partir do calendário oficial</w:t>
            </w:r>
          </w:p>
        </w:tc>
        <w:tc>
          <w:tcPr>
            <w:tcW w:type="dxa" w:w="351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Sempre com fonte e versão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Segurança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Regras em </w:t>
            </w:r>
            <w:r>
              <w:rPr>
                <w:rFonts w:ascii="Consolas" w:hAnsi="Consolas" w:eastAsia="Consolas"/>
                <w:sz w:val="16"/>
              </w:rPr>
              <w:t>safety.py</w:t>
            </w:r>
          </w:p>
        </w:tc>
        <w:tc>
          <w:tcPr>
            <w:tcW w:type="dxa" w:w="351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Antes do modelo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Fala para texto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AI Speech, REST de áudio curto</w:t>
            </w:r>
          </w:p>
        </w:tc>
        <w:tc>
          <w:tcPr>
            <w:tcW w:type="dxa" w:w="351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WAV PCM 16 kHz, mono, até 60 s; o app grava até 30 s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Hospedagem</w:t>
            </w:r>
          </w:p>
        </w:tc>
        <w:tc>
          <w:tcPr>
            <w:tcW w:type="dxa" w:w="340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Azure Functions Python 3.13 (Flex Consumption)</w:t>
            </w:r>
          </w:p>
        </w:tc>
        <w:tc>
          <w:tcPr>
            <w:tcW w:type="dxa" w:w="351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1 instância sempre pronta e paralelismo HTTP 8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2"/>
      </w:pPr>
      <w:r>
        <w:t>9.3. Dataset e Treinamento</w:t>
      </w:r>
    </w:p>
    <w:p>
      <w:r>
        <w:t xml:space="preserve">O </w:t>
      </w:r>
      <w:r>
        <w:rPr>
          <w:b/>
        </w:rPr>
        <w:t>dataset de intenções</w:t>
      </w:r>
      <w:r>
        <w:t xml:space="preserve"> tem </w:t>
      </w:r>
      <w:r>
        <w:rPr>
          <w:b/>
        </w:rPr>
        <w:t>490 frases em 20 intenções</w:t>
      </w:r>
      <w:r>
        <w:t xml:space="preserve">, escritas e revisadas à mão, sem dados pessoais (origem: criação própria do autor, com apoio de rascunho que ele revisa). O </w:t>
      </w:r>
      <w:r>
        <w:rPr>
          <w:b/>
        </w:rPr>
        <w:t>conjunto de teste</w:t>
      </w:r>
      <w:r>
        <w:t xml:space="preserve"> tem </w:t>
      </w:r>
      <w:r>
        <w:rPr>
          <w:b/>
        </w:rPr>
        <w:t>100 frases separadas</w:t>
      </w:r>
      <w:r>
        <w:t xml:space="preserve"> do treino; o script de avaliação recusa o teste se houver frase repetida nos dois conjuntos. A semente é fixa (42), então o resultado é reprodutível.</w:t>
      </w:r>
    </w:p>
    <w:p>
      <w:pPr>
        <w:keepNext/>
        <w:jc w:val="center"/>
      </w:pPr>
      <w:r>
        <w:rPr>
          <w:b/>
          <w:sz w:val="20"/>
        </w:rPr>
        <w:t>Quadro 17 – Avaliação do classificador de intenções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422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Acurácia no conjunto de teste</w:t>
            </w:r>
          </w:p>
        </w:tc>
        <w:tc>
          <w:tcPr>
            <w:tcW w:type="dxa" w:w="442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94,0%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F1 macro</w:t>
            </w:r>
          </w:p>
        </w:tc>
        <w:tc>
          <w:tcPr>
            <w:tcW w:type="dxa" w:w="442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0,932 (meta de 0,85, a validar com o professor: atingida)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F1 ponderado</w:t>
            </w:r>
          </w:p>
        </w:tc>
        <w:tc>
          <w:tcPr>
            <w:tcW w:type="dxa" w:w="442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0,932</w:t>
            </w:r>
          </w:p>
        </w:tc>
      </w:tr>
      <w:tr>
        <w:tc>
          <w:tcPr>
            <w:tcW w:type="dxa" w:w="453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Validação cruzada em 5 partes, só no treino: acurácia e F1 macro</w:t>
            </w:r>
          </w:p>
        </w:tc>
        <w:tc>
          <w:tcPr>
            <w:tcW w:type="dxa" w:w="442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68,8% e 0,670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r>
        <w:t xml:space="preserve">A validação cruzada é bem menor que o teste porque o modelo ainda depende de haver exemplos parecidos com a pergunta; o dataset é pequeno, e isso está registrado como limitação em </w:t>
      </w:r>
      <w:r>
        <w:rPr>
          <w:rFonts w:ascii="Consolas" w:hAnsi="Consolas" w:eastAsia="Consolas"/>
          <w:sz w:val="22"/>
        </w:rPr>
        <w:t>docs/07-testes/avaliacao-chatbot.md</w:t>
      </w:r>
      <w:r>
        <w:t>.</w:t>
      </w:r>
    </w:p>
    <w:p>
      <w:r>
        <w:rPr>
          <w:b/>
        </w:rPr>
        <w:t>Busca semântica:</w:t>
      </w:r>
      <w:r>
        <w:t xml:space="preserve"> em 63 consultas de teste, o acerto na primeira posição subiu de </w:t>
      </w:r>
      <w:r>
        <w:rPr>
          <w:b/>
        </w:rPr>
        <w:t>68,3%</w:t>
      </w:r>
      <w:r>
        <w:t xml:space="preserve"> (índice inicial) para </w:t>
      </w:r>
      <w:r>
        <w:rPr>
          <w:b/>
        </w:rPr>
        <w:t>88,9%</w:t>
      </w:r>
      <w:r>
        <w:t xml:space="preserve"> e o MRR de 0,722 para 0,928, com a melhoria vinda sobretudo do enriquecimento dos documentos (apelidos e doenças); o efeito isolado do LSA é pequeno (</w:t>
      </w:r>
      <w:r>
        <w:rPr>
          <w:rFonts w:ascii="Consolas" w:hAnsi="Consolas" w:eastAsia="Consolas"/>
          <w:sz w:val="22"/>
        </w:rPr>
        <w:t>docs/07-testes/avaliacao-busca-semantica.md</w:t>
      </w:r>
      <w:r>
        <w:t>). Embeddings de modelo ficam como evolução, dependendo de custo aprovado.</w:t>
      </w:r>
    </w:p>
    <w:p>
      <w:pPr>
        <w:pStyle w:val="Heading1"/>
      </w:pPr>
      <w:r>
        <w:t>10. Integração entre Componentes</w:t>
      </w:r>
    </w:p>
    <w:p>
      <w:pPr>
        <w:pStyle w:val="Heading2"/>
      </w:pPr>
      <w:r>
        <w:t>10.1. Fluxo de Dados</w:t>
      </w:r>
    </w:p>
    <w:p>
      <w:r>
        <w:t>O fluxo da pergunta por voz, o mais completo, está na Figura 4. O app captura o microfone e monta o WAV no próprio aparelho; a API valida o token, o tipo e o tamanho do áudio, aplica o limite de uso e envia o áudio ao Azure AI Speech; com a transcrição, consulta o PLN em paralelo (resposta curada e busca) e devolve tudo ao app. O áudio fica só em memória, durante a chamada.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keepNext w:val="0"/>
        <w:jc w:val="center"/>
      </w:pPr>
      <w:r>
        <w:rPr>
          <w:b/>
          <w:sz w:val="20"/>
        </w:rPr>
        <w:t>Figura 4 – Fluxo da pergunta por voz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4601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46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Fonte: Elaborado pelo autor (2026).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t xml:space="preserve">Os demais fluxos seguem o mesmo caminho: app → API (token) → serviço → repositório → Azure SQL. O ciclo de vida da dose é uma máquina de estados pura em </w:t>
      </w:r>
      <w:r>
        <w:rPr>
          <w:rFonts w:ascii="Consolas" w:hAnsi="Consolas" w:eastAsia="Consolas"/>
          <w:sz w:val="22"/>
        </w:rPr>
        <w:t>packages/shared</w:t>
      </w:r>
      <w:r>
        <w:t xml:space="preserve"> (Figura 5, seção 13.2), e a rotina diária de lembretes (função agendada às 8h de Brasília) lê as doses de contas com consentimento e envia, pelo Brevo, no máximo um e-mail por conta por dia.</w:t>
      </w:r>
    </w:p>
    <w:p>
      <w:pPr>
        <w:pStyle w:val="Heading2"/>
      </w:pPr>
      <w:r>
        <w:t>10.2. Contratos de Interface</w:t>
      </w:r>
    </w:p>
    <w:p>
      <w:pPr>
        <w:keepNext/>
        <w:jc w:val="center"/>
      </w:pPr>
      <w:r>
        <w:rPr>
          <w:b/>
          <w:sz w:val="20"/>
        </w:rPr>
        <w:t>Quadro 18 – Contratos entre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7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De → para</w:t>
            </w:r>
          </w:p>
        </w:tc>
        <w:tc>
          <w:tcPr>
            <w:tcW w:type="dxa" w:w="3175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e formato</w:t>
            </w:r>
          </w:p>
        </w:tc>
        <w:tc>
          <w:tcPr>
            <w:tcW w:type="dxa" w:w="3912"/>
            <w:shd w:val="clear" w:fill="E1F2EC"/>
          </w:tcPr>
          <w:p>
            <w:pPr>
              <w:jc w:val="left"/>
            </w:pPr>
            <w:r/>
            <w:r>
              <w:rPr>
                <w:b/>
                <w:sz w:val="18"/>
              </w:rPr>
              <w:t>Contrato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App → API</w:t>
            </w:r>
          </w:p>
        </w:tc>
        <w:tc>
          <w:tcPr>
            <w:tcW w:type="dxa" w:w="317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HTTPS, JSON (WAV na voz); cabeçalho </w:t>
            </w:r>
            <w:r>
              <w:rPr>
                <w:rFonts w:ascii="Consolas" w:hAnsi="Consolas" w:eastAsia="Consolas"/>
                <w:sz w:val="16"/>
              </w:rPr>
              <w:t>Authorization: Bearer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OpenAPI 3.1 gerado dos esquemas Zod do pacote compartilhado; mesmos esquemas validam app e API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API → PLN</w:t>
            </w:r>
          </w:p>
        </w:tc>
        <w:tc>
          <w:tcPr>
            <w:tcW w:type="dxa" w:w="317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HTTPS, JSON; chave da função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POST /api/chat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 w:eastAsia="Consolas"/>
                <w:sz w:val="16"/>
              </w:rPr>
              <w:t>/api/search</w:t>
            </w:r>
            <w:r>
              <w:rPr>
                <w:sz w:val="18"/>
              </w:rPr>
              <w:t xml:space="preserve"> com </w:t>
            </w:r>
            <w:r>
              <w:rPr>
                <w:rFonts w:ascii="Consolas" w:hAnsi="Consolas" w:eastAsia="Consolas"/>
                <w:sz w:val="16"/>
              </w:rPr>
              <w:t>{"text": "..."}</w:t>
            </w:r>
            <w:r>
              <w:rPr>
                <w:sz w:val="18"/>
              </w:rPr>
              <w:t xml:space="preserve"> (até 300 caracteres); respostas validadas por Zod; erro 400 com mensagem fixa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API → Azure AI Speech</w:t>
            </w:r>
          </w:p>
        </w:tc>
        <w:tc>
          <w:tcPr>
            <w:tcW w:type="dxa" w:w="317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HTTPS, </w:t>
            </w:r>
            <w:r>
              <w:rPr>
                <w:rFonts w:ascii="Consolas" w:hAnsi="Consolas" w:eastAsia="Consolas"/>
                <w:sz w:val="16"/>
              </w:rPr>
              <w:t>audio/wav</w:t>
            </w:r>
            <w:r>
              <w:rPr>
                <w:sz w:val="18"/>
              </w:rPr>
              <w:t xml:space="preserve"> (PCM 16 kHz, mono)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API REST de áudio curto, </w:t>
            </w:r>
            <w:r>
              <w:rPr>
                <w:rFonts w:ascii="Consolas" w:hAnsi="Consolas" w:eastAsia="Consolas"/>
                <w:sz w:val="16"/>
              </w:rPr>
              <w:t>language=pt-BR</w:t>
            </w:r>
            <w:r>
              <w:rPr>
                <w:sz w:val="18"/>
              </w:rPr>
              <w:t xml:space="preserve">; resposta com </w:t>
            </w:r>
            <w:r>
              <w:rPr>
                <w:rFonts w:ascii="Consolas" w:hAnsi="Consolas" w:eastAsia="Consolas"/>
                <w:sz w:val="16"/>
              </w:rPr>
              <w:t>RecognitionStatus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 w:eastAsia="Consolas"/>
                <w:sz w:val="16"/>
              </w:rPr>
              <w:t>DisplayText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API → Brevo</w:t>
            </w:r>
          </w:p>
        </w:tc>
        <w:tc>
          <w:tcPr>
            <w:tcW w:type="dxa" w:w="317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HTTPS, JSON (</w:t>
            </w:r>
            <w:r>
              <w:rPr>
                <w:rFonts w:ascii="Consolas" w:hAnsi="Consolas" w:eastAsia="Consolas"/>
                <w:sz w:val="16"/>
              </w:rPr>
              <w:t>POST /v3/smtp/email</w:t>
            </w:r>
            <w:r>
              <w:rPr>
                <w:sz w:val="18"/>
              </w:rPr>
              <w:t xml:space="preserve">, cabeçalho </w:t>
            </w:r>
            <w:r>
              <w:rPr>
                <w:rFonts w:ascii="Consolas" w:hAnsi="Consolas" w:eastAsia="Consolas"/>
                <w:sz w:val="16"/>
              </w:rPr>
              <w:t>api-key</w:t>
            </w:r>
            <w:r>
              <w:rPr>
                <w:sz w:val="18"/>
              </w:rPr>
              <w:t>)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Remetente verificado; o e-mail traz só link de redefinição ou quantidade de vacinas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API → Azure SQL</w:t>
            </w:r>
          </w:p>
        </w:tc>
        <w:tc>
          <w:tcPr>
            <w:tcW w:type="dxa" w:w="317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TDS com TLS, autenticação Entra por identidade gerenciada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Consultas parametrizadas; esquema versionado em migrações</w:t>
            </w:r>
          </w:p>
        </w:tc>
      </w:tr>
      <w:tr>
        <w:tc>
          <w:tcPr>
            <w:tcW w:type="dxa" w:w="1871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Erros</w:t>
            </w:r>
          </w:p>
        </w:tc>
        <w:tc>
          <w:tcPr>
            <w:tcW w:type="dxa" w:w="3175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 xml:space="preserve">JSON </w:t>
            </w:r>
            <w:r>
              <w:rPr>
                <w:rFonts w:ascii="Consolas" w:hAnsi="Consolas" w:eastAsia="Consolas"/>
                <w:sz w:val="16"/>
              </w:rPr>
              <w:t>{code, message}</w:t>
            </w:r>
            <w:r>
              <w:rPr>
                <w:sz w:val="18"/>
              </w:rPr>
              <w:t xml:space="preserve"> com HTTP 400, 401, 403, 404, 409, 413, 415, 422, 429, 500 ou 503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8"/>
              </w:rPr>
              <w:t>Mensagens em português, sem detalhe interno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1"/>
      </w:pPr>
      <w:r>
        <w:t>11. Riscos e Mitigações</w:t>
      </w:r>
    </w:p>
    <w:p>
      <w:pPr>
        <w:pStyle w:val="Heading2"/>
      </w:pPr>
      <w:r>
        <w:t>11.1. Identificação de Riscos</w:t>
      </w:r>
    </w:p>
    <w:p>
      <w:pPr>
        <w:keepNext/>
        <w:jc w:val="center"/>
      </w:pPr>
      <w:r>
        <w:rPr>
          <w:b/>
          <w:sz w:val="20"/>
        </w:rPr>
        <w:t>Quadro 19 – Riscos e mitigações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2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06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Risco</w:t>
            </w:r>
          </w:p>
        </w:tc>
        <w:tc>
          <w:tcPr>
            <w:tcW w:type="dxa" w:w="1361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Prob. / Impacto</w:t>
            </w:r>
          </w:p>
        </w:tc>
        <w:tc>
          <w:tcPr>
            <w:tcW w:type="dxa" w:w="3912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Mitigação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R1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Prazo curto com um único desenvolvedor.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Alta / Alto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Escopo enxuto (MVP); priorização no backlog; funcionalidades extras apenas se houver folga; revisão semanal do cronograma.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R2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Curva de aprendizado na Azure (Functions, SQL, Entra External ID e Speech).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Média / Alto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Protótipo ponta a ponta na semana 2; uso da documentação oficial; simplificação de serviços, registrada em ADR, se necessário.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R3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Custos inesperados na Azure.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Média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Camadas gratuitas ou de menor custo; alertas de orçamento; revisão semanal dos recursos ativos.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R4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Conjunto de dados pequeno para o classificador de intenções.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Alta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Criar e revisar manualmente exemplos por intenção; validação cruzada; relatar F1 e limitações; resposta padrão quando a confiança for baixa.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R5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Erro ou desatualização do calendário vacinal.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Média / Alto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Usar apenas fonte oficial, com versão e data; dados do calendário isolados e versionados; aviso de que o app não substitui a caderneta nem a orientação profissional.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R6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Exposição de dados pessoais e de saúde.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Baixa / Alto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Coleta mínima (sem CPF e CNS); criptografia em trânsito e em repouso; segredos no Key Vault; consentimento e exclusão de conta.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R7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Divergência de exigências entre disciplinas, como a ferramenta de testes.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Média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Registrar por escrito a confirmação do professor sobre o uso de Jest; manter as exigências de cada disciplina no backlog.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R8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Mudança de condições ou indisponibilidade de serviços da Azure.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Baixa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Verificar as condições no portal antes de decidir; documentar alternativas nos ADRs.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R9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Respostas 503 intermitentes da API sob rajadas (instância única que desliga por ociosidade), medidas em 07/10/2026.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Alta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b/>
                <w:sz w:val="16"/>
              </w:rPr>
              <w:t>Tratado:</w:t>
            </w:r>
            <w:r>
              <w:rPr>
                <w:sz w:val="16"/>
              </w:rPr>
              <w:t xml:space="preserve"> 1 instância sempre pronta na API (cerca de US$ 6,50 por mês); 0 falhas em cerca de 1.000 requisições depois. Restam poucos casos de 10 a 20 s em rajadas. Atenção: o Bicep mantém 0 por padrão.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R10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Voz no celular não testada em aparelho físico nem em iOS (testada no navegador e no emulador Android).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Média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 xml:space="preserve">Testar em celular físico antes da apresentação; a captura usa </w:t>
            </w:r>
            <w:r>
              <w:rPr>
                <w:rFonts w:ascii="Consolas" w:hAnsi="Consolas" w:eastAsia="Consolas"/>
                <w:sz w:val="14"/>
              </w:rPr>
              <w:t>expo-audio</w:t>
            </w:r>
            <w:r>
              <w:rPr>
                <w:sz w:val="16"/>
              </w:rPr>
              <w:t xml:space="preserve"> (PCM) e o mesmo WAV da web; texto continua como alternativa.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R11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Partida a frio do serviço de PLN (cerca de 50 s) ao reiniciar.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Média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1 instância sempre pronta no PLN; fazer uma pergunta de aquecimento antes de apresentar.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R12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Entrega do e-mail (Brevo) depende de remetente verificado; provedores gratuitos podem cair em spam; limite de 300 e-mails por dia.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Média / Médio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Verificar o remetente; avisar o usuário para olhar o spam; o aviso dentro do app não depende do e-mail.</w:t>
            </w:r>
          </w:p>
        </w:tc>
      </w:tr>
      <w:tr>
        <w:tc>
          <w:tcPr>
            <w:tcW w:type="dxa" w:w="62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R13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 xml:space="preserve">Chaves do login e do Brevo como configuração da aplicação, e não no Key Vault; regra do SQL </w:t>
            </w:r>
            <w:r>
              <w:rPr>
                <w:rFonts w:ascii="Consolas" w:hAnsi="Consolas" w:eastAsia="Consolas"/>
                <w:sz w:val="14"/>
              </w:rPr>
              <w:t>AllowAzureServices</w:t>
            </w:r>
            <w:r>
              <w:rPr>
                <w:sz w:val="16"/>
              </w:rPr>
              <w:t xml:space="preserve"> ampla.</w:t>
            </w:r>
          </w:p>
        </w:tc>
        <w:tc>
          <w:tcPr>
            <w:tcW w:type="dxa" w:w="1361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Baixa / Alto</w:t>
            </w:r>
          </w:p>
        </w:tc>
        <w:tc>
          <w:tcPr>
            <w:tcW w:type="dxa" w:w="3912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Migrar para o Key Vault quando houver o papel de escrita; trocar por regra específica (</w:t>
            </w:r>
            <w:r>
              <w:rPr>
                <w:rFonts w:ascii="Consolas" w:hAnsi="Consolas" w:eastAsia="Consolas"/>
                <w:sz w:val="14"/>
              </w:rPr>
              <w:t>docs/21</w:t>
            </w:r>
            <w:r>
              <w:rPr>
                <w:sz w:val="16"/>
              </w:rPr>
              <w:t>).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pPr>
        <w:pStyle w:val="Heading2"/>
      </w:pPr>
      <w:r>
        <w:t>11.2. Plano de Mitigação</w:t>
      </w:r>
    </w:p>
    <w:p>
      <w:r>
        <w:t>A mitigação de cada risco está na última coluna do quadro. Os riscos são revisados a cada semana; os registrados em 07/10/2026 (R9 a R13) vêm da verificação da qualidade e da segurança (</w:t>
      </w:r>
      <w:r>
        <w:rPr>
          <w:rFonts w:ascii="Consolas" w:hAnsi="Consolas" w:eastAsia="Consolas"/>
          <w:sz w:val="22"/>
        </w:rPr>
        <w:t>docs/21</w:t>
      </w:r>
      <w:r>
        <w:t>).</w:t>
      </w:r>
    </w:p>
    <w:p>
      <w:pPr>
        <w:pStyle w:val="Heading1"/>
      </w:pPr>
      <w:r>
        <w:t>12. Itens do Product Backlog (PBI)</w:t>
      </w:r>
    </w:p>
    <w:p>
      <w:r>
        <w:t xml:space="preserve">O backlog está organizado em oito épicos (SCRUM-5 a SCRUM-12) e itens por funcionalidade. O quadro a seguir mostra, em ordem de desenvolvimento, o estado de implementação de cada item na data deste documento. </w:t>
      </w:r>
      <w:r>
        <w:rPr>
          <w:b/>
        </w:rPr>
        <w:t>O status no Jira (A fazer, Em andamento, Em análise ou Concluído) é decidido pelo autor</w:t>
      </w:r>
      <w:r>
        <w:t xml:space="preserve"> e deve ser conferido no quadro do projeto.</w:t>
      </w:r>
    </w:p>
    <w:p>
      <w:pPr>
        <w:keepNext/>
        <w:jc w:val="center"/>
      </w:pPr>
      <w:r>
        <w:rPr>
          <w:b/>
          <w:sz w:val="20"/>
        </w:rPr>
        <w:t>Quadro 20 – Itens do backlog e estado de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587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628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1247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2494"/>
            <w:shd w:val="clear" w:fill="E1F2EC"/>
          </w:tcPr>
          <w:p>
            <w:pPr>
              <w:jc w:val="left"/>
            </w:pPr>
            <w:r/>
            <w:r>
              <w:rPr>
                <w:b/>
                <w:sz w:val="16"/>
              </w:rPr>
              <w:t>Estado de implementação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SCRUM-22, 23, 24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Provisionar a Azure, monorepo e qualidade, pipeline de CI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RNF06, RNF07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SCRUM-13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Cadastro e login (login próprio, recuperação de senha)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RF01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SCRUM-14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Consentimento e exclusão de conta, Termos e Política de privacidade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RF09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SCRUM-15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Pessoas da família, com parentesco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RF02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SCRUM-16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Calendário vacinal por faixa etária (PNI 2026)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RF03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SCRUM-17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Histórico de doses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SCRUM-18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Registro e ciclo de vida da dose, dose avulsa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RF04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SCRUM-19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Lembretes (aviso no app e e-mail diário)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RF05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Feito; envio real de e-mail a conferir em produção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SCRUM-20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Busca por voz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RF06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 na web e no emulador Android; falta aparelho físico e iOS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SCRUM-21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Chatbot de dúvidas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RF07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SCRUM-25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Docker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RNF08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SCRUM-26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Estimativa de custo e alertas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RNF05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Custos feitos; alertas pendentes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SCRUM-27, 28, 29, 30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Plano de teste, caixa preta, UML de estados e casos, Jest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RNF07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SCRUM-31, 33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UML e DER, ADRs (17 decisões registradas)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RNF06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Feito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SCRUM-32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Design system (tokens, componentes, temas)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RNF04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Implementado no app; protótipo do Figma incompleto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SCRUM-34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Documentação técnica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Esta versão 1.0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SCRUM-35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Documentação de desenvolvimento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Em andamento (depende dos tempos e reuniões do autor)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SCRUM-36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Documentação do usuário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Versão 1.0 em Word, a revisar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SCRUM-37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Panfleto de divulgação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Não iniciado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SCRUM-38, 39, 40</w:t>
            </w:r>
          </w:p>
        </w:tc>
        <w:tc>
          <w:tcPr>
            <w:tcW w:type="dxa" w:w="3628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Mapa de unidades, exportar PDF, compartilhar com cuidador</w:t>
            </w:r>
          </w:p>
        </w:tc>
        <w:tc>
          <w:tcPr>
            <w:tcW w:type="dxa" w:w="1247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RF10 a RF12</w:t>
            </w:r>
          </w:p>
        </w:tc>
        <w:tc>
          <w:tcPr>
            <w:tcW w:type="dxa" w:w="2494"/>
          </w:tcPr>
          <w:p>
            <w:pPr>
              <w:spacing w:after="40" w:line="240" w:lineRule="auto"/>
              <w:jc w:val="left"/>
            </w:pPr>
            <w:r/>
            <w:r>
              <w:rPr>
                <w:sz w:val="16"/>
              </w:rPr>
              <w:t>Não iniciados (versão completa, só se houver folga)</w:t>
            </w:r>
          </w:p>
        </w:tc>
      </w:tr>
    </w:tbl>
    <w:p>
      <w:pPr>
        <w:jc w:val="center"/>
      </w:pPr>
      <w:r>
        <w:rPr>
          <w:sz w:val="20"/>
        </w:rPr>
        <w:t>Fonte: Elaborado pelo autor (2026).</w:t>
      </w:r>
    </w:p>
    <w:p>
      <w:r>
        <w:rPr>
          <w:b/>
        </w:rPr>
        <w:t>Mudanças em relação à primeira versão do backlog e do escopo, com justificativa:</w:t>
      </w:r>
    </w:p>
    <w:p>
      <w:pPr>
        <w:pStyle w:val="ListBullet"/>
      </w:pPr>
      <w:r>
        <w:rPr>
          <w:b/>
        </w:rPr>
        <w:t>Login:</w:t>
      </w:r>
      <w:r>
        <w:t xml:space="preserve"> passou de Microsoft Entra External ID para login próprio (ADR-014), porque o diretório do Centro Paula Souza não permite criar o tenant.</w:t>
      </w:r>
    </w:p>
    <w:p>
      <w:pPr>
        <w:pStyle w:val="ListBullet"/>
      </w:pPr>
      <w:r>
        <w:rPr>
          <w:b/>
        </w:rPr>
        <w:t>Lembretes:</w:t>
      </w:r>
      <w:r>
        <w:t xml:space="preserve"> passou de notificação push do Expo para aviso no app e e-mail diário (ADR-017), por não exigir serviço novo nem aparelho físico e funcionar na web. A antecedência mudou de "7 dias e 1 dia" para "7 dias e no dia".</w:t>
      </w:r>
    </w:p>
    <w:p>
      <w:pPr>
        <w:pStyle w:val="ListBullet"/>
      </w:pPr>
      <w:r>
        <w:rPr>
          <w:b/>
        </w:rPr>
        <w:t>Limite de uso:</w:t>
      </w:r>
      <w:r>
        <w:t xml:space="preserve"> passou de Table Storage para contadores em memória por instância (ADR-010), por simplicidade e custo, com a ressalva de valer por instância.</w:t>
      </w:r>
    </w:p>
    <w:p>
      <w:pPr>
        <w:pStyle w:val="ListBullet"/>
      </w:pPr>
      <w:r>
        <w:rPr>
          <w:b/>
        </w:rPr>
        <w:t>Itens acrescentados:</w:t>
      </w:r>
      <w:r>
        <w:t xml:space="preserve"> parentesco da pessoa, dose avulsa (ADR-016), Termos de uso e Política de privacidade, cabeçalhos de segurança, checklist OWASP e carga leve.</w:t>
      </w:r>
    </w:p>
    <w:p>
      <w:pPr>
        <w:pStyle w:val="ListBullet"/>
      </w:pPr>
      <w:r>
        <w:rPr>
          <w:b/>
        </w:rPr>
        <w:t>Voz no celular:</w:t>
      </w:r>
      <w:r>
        <w:t xml:space="preserve"> captura em PCM com </w:t>
      </w:r>
      <w:r>
        <w:rPr>
          <w:rFonts w:ascii="Consolas" w:hAnsi="Consolas" w:eastAsia="Consolas"/>
          <w:sz w:val="22"/>
        </w:rPr>
        <w:t>expo-audio</w:t>
      </w:r>
      <w:r>
        <w:t xml:space="preserve"> e mesmo WAV da web, em vez de gravar arquivo comprimido, porque o Android não grava WAV em arquivo e a API de áudio curto só lê WAV.</w:t>
      </w:r>
    </w:p>
    <w:p>
      <w:pPr>
        <w:pStyle w:val="Heading1"/>
      </w:pPr>
      <w:r>
        <w:t>13. Anexos</w:t>
      </w:r>
    </w:p>
    <w:p>
      <w:pPr>
        <w:pStyle w:val="Heading2"/>
      </w:pPr>
      <w:r>
        <w:t>13.1. Backlog do Produto</w:t>
      </w:r>
    </w:p>
    <w:p>
      <w:r>
        <w:t>Jira, projeto SCRUM (https://vacinaemdia.atlassian.net). Código e histórico: https://github.com/edukamoz/vacina-em-dia.</w:t>
      </w:r>
    </w:p>
    <w:p>
      <w:pPr>
        <w:pStyle w:val="Heading2"/>
      </w:pPr>
      <w:r>
        <w:t>13.2. Outros Diagramas</w:t>
      </w:r>
    </w:p>
    <w:p>
      <w:r>
        <w:t xml:space="preserve">Além dos diagramas das seções 4, 5, 7 e 10, a Figura 5 mostra os estados da dose. Os casos de uso, as classes e as sequências (login, registrar dose e lembretes) estão em </w:t>
      </w:r>
      <w:r>
        <w:rPr>
          <w:rFonts w:ascii="Consolas" w:hAnsi="Consolas" w:eastAsia="Consolas"/>
          <w:sz w:val="22"/>
        </w:rPr>
        <w:t>docs/03-uml/</w:t>
      </w:r>
      <w:r>
        <w:t xml:space="preserve"> do repositório; a sequência de lembretes prevista originalmente com push foi substituída pelo desenho da ADR-017.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keepNext w:val="0"/>
        <w:jc w:val="center"/>
      </w:pPr>
      <w:r>
        <w:rPr>
          <w:b/>
          <w:sz w:val="20"/>
        </w:rPr>
        <w:t>Figura 5 – Estados do ciclo de vida da dose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1921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-d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192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Fonte: Elaborado pelo autor (2026).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13.3. Referências</w:t>
      </w:r>
    </w:p>
    <w:p>
      <w:pPr>
        <w:jc w:val="left"/>
      </w:pPr>
      <w:r>
        <w:t xml:space="preserve">AGUIAR, F.; CAROLI, P. </w:t>
      </w:r>
      <w:r>
        <w:rPr>
          <w:b/>
        </w:rPr>
        <w:t>Product Backlog Building</w:t>
      </w:r>
      <w:r>
        <w:t>: um guia prático para criação e refinamento de backlog para produtos de sucesso. Rio de Janeiro: Caroli, 2021.</w:t>
      </w:r>
    </w:p>
    <w:p>
      <w:pPr>
        <w:jc w:val="left"/>
      </w:pPr>
      <w:r>
        <w:t xml:space="preserve">BRASIL. </w:t>
      </w:r>
      <w:r>
        <w:rPr>
          <w:b/>
        </w:rPr>
        <w:t>Lei nº 13.709, de 14 de agosto de 2018</w:t>
      </w:r>
      <w:r>
        <w:t>. Lei Geral de Proteção de Dados Pessoais (LGPD). Brasília, DF: Presidência da República, 2018. Disponível em: https://www.planalto.gov.br/ccivil_03/_ato2015-2018/2018/lei/l13709.htm. Acesso em: 6 out. 2026.</w:t>
      </w:r>
    </w:p>
    <w:p>
      <w:pPr>
        <w:jc w:val="left"/>
      </w:pPr>
      <w:r>
        <w:t xml:space="preserve">BRASIL. Ministério da Saúde. </w:t>
      </w:r>
      <w:r>
        <w:rPr>
          <w:b/>
        </w:rPr>
        <w:t>Programa Nacional de Imunizações (PNI)</w:t>
      </w:r>
      <w:r>
        <w:t>: Calendário Nacional de Vacinação. Brasília, DF: Ministério da Saúde, [s. d.]. Disponível em: https://www.gov.br/saude/pt-br/vacinacao/calendario. Acesso em: 6 out. 2026.</w:t>
      </w:r>
    </w:p>
    <w:p>
      <w:pPr>
        <w:jc w:val="left"/>
      </w:pPr>
      <w:r>
        <w:t xml:space="preserve">BREVO. </w:t>
      </w:r>
      <w:r>
        <w:rPr>
          <w:b/>
        </w:rPr>
        <w:t>Transactional email API</w:t>
      </w:r>
      <w:r>
        <w:t>: send a transactional email. [S. l.]: Brevo, [s. d.]. Disponível em: https://developers.brevo.com/reference/sendtransacemail. Acesso em: 7 out. 2026.</w:t>
      </w:r>
    </w:p>
    <w:p>
      <w:pPr>
        <w:jc w:val="left"/>
      </w:pPr>
      <w:r>
        <w:t xml:space="preserve">DYNOWSKI, L.; DULAK, M. </w:t>
      </w:r>
      <w:r>
        <w:rPr>
          <w:b/>
        </w:rPr>
        <w:t>Dominando estilos de APIs</w:t>
      </w:r>
      <w:r>
        <w:t>: compreendendo as vantagens e desvantagens dos principais estilos de APIs e escolhendo as soluções corretas. São Paulo: Novatec, 2025.</w:t>
      </w:r>
    </w:p>
    <w:p>
      <w:pPr>
        <w:jc w:val="left"/>
      </w:pPr>
      <w:r>
        <w:t xml:space="preserve">EXPO. </w:t>
      </w:r>
      <w:r>
        <w:rPr>
          <w:b/>
        </w:rPr>
        <w:t>Audio (expo-audio)</w:t>
      </w:r>
      <w:r>
        <w:t>. [S. l.]: Expo, [s. d.]. Disponível em: https://docs.expo.dev/versions/latest/sdk/audio/. Acesso em: 7 out. 2026.</w:t>
      </w:r>
    </w:p>
    <w:p>
      <w:pPr>
        <w:jc w:val="left"/>
      </w:pPr>
      <w:r>
        <w:t xml:space="preserve">FACULDADE DE TECNOLOGIA DE VOTORANTIM. </w:t>
      </w:r>
      <w:r>
        <w:rPr>
          <w:b/>
        </w:rPr>
        <w:t>Projeto Interdisciplinar VI (PI-VI)</w:t>
      </w:r>
      <w:r>
        <w:t>: Curso Superior de Desenvolvimento de Software Multiplataforma. Versão 1.0. Votorantim: Fatec Votorantim, 2026.</w:t>
      </w:r>
    </w:p>
    <w:p>
      <w:pPr>
        <w:jc w:val="left"/>
      </w:pPr>
      <w:r>
        <w:t xml:space="preserve">MICROSOFT. </w:t>
      </w:r>
      <w:r>
        <w:rPr>
          <w:b/>
        </w:rPr>
        <w:t>Azure AI Speech</w:t>
      </w:r>
      <w:r>
        <w:t>: documentação. Redmond: Microsoft, [s. d.]. Disponível em: https://learn.microsoft.com/azure/ai-services/speech-service/. Acesso em: 7 out. 2026.</w:t>
      </w:r>
    </w:p>
    <w:p>
      <w:pPr>
        <w:jc w:val="left"/>
      </w:pPr>
      <w:r>
        <w:t xml:space="preserve">MICROSOFT. </w:t>
      </w:r>
      <w:r>
        <w:rPr>
          <w:b/>
        </w:rPr>
        <w:t>Azure Functions</w:t>
      </w:r>
      <w:r>
        <w:t>: plano Flex Consumption. Redmond: Microsoft, [s. d.]. Disponível em: https://learn.microsoft.com/azure/azure-functions/flex-consumption-plan. Acesso em: 7 out. 2026.</w:t>
      </w:r>
    </w:p>
    <w:p>
      <w:pPr>
        <w:jc w:val="left"/>
      </w:pPr>
      <w:r>
        <w:t xml:space="preserve">NATIONAL INSTITUTE OF STANDARDS AND TECHNOLOGY. </w:t>
      </w:r>
      <w:r>
        <w:rPr>
          <w:b/>
        </w:rPr>
        <w:t>NIST Special Publication 800-63B</w:t>
      </w:r>
      <w:r>
        <w:t>: digital identity guidelines, authentication and lifecycle management. Gaithersburg: NIST, 2017. Disponível em: https://pages.nist.gov/800-63-3/sp800-63b.html.</w:t>
      </w:r>
    </w:p>
    <w:p>
      <w:pPr>
        <w:jc w:val="left"/>
      </w:pPr>
      <w:r>
        <w:t xml:space="preserve">OWASP FOUNDATION. </w:t>
      </w:r>
      <w:r>
        <w:rPr>
          <w:b/>
        </w:rPr>
        <w:t>OWASP Top 10:2021</w:t>
      </w:r>
      <w:r>
        <w:t>. [S. l.]: OWASP, 2021. Disponível em: https://owasp.org/Top10/.</w:t>
      </w:r>
    </w:p>
    <w:p>
      <w:pPr>
        <w:jc w:val="left"/>
      </w:pPr>
      <w:r>
        <w:t xml:space="preserve">WORLD WIDE WEB CONSORTIUM. </w:t>
      </w:r>
      <w:r>
        <w:rPr>
          <w:b/>
        </w:rPr>
        <w:t>Web Content Accessibility Guidelines (WCAG) 2.1</w:t>
      </w:r>
      <w:r>
        <w:t>. [S. l.]: W3C, 2018. Disponível em: https://www.w3.org/TR/WCAG21/. Acesso em: 6 out. 2026.</w:t>
      </w:r>
    </w:p>
    <w:p>
      <w:r>
        <w:t>Nota: as referências sem data de acesso (NIST e OWASP) devem ter a data de acesso preenchida pelo autor.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Vacina em Dia: Documentação Técnica, versão 1.0.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jc w:val="left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="Arial" w:hAnsi="Arial" w:eastAsia="Arial" w:cs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