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eastAsia="Arial" w:cs="Arial"/>
          <w:b/>
          <w:sz w:val="28"/>
          <w:lang w:val="pt-BR"/>
        </w:rPr>
        <w:t>AJUSTES SOLICITADOS NA AVALIAÇÃO DA PROPOSTA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Eduardo Krause (RA 12520157) — Análise e Desenvolvimento de Sistemas — UNIMATER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Orientador: Prof. Me. João Mazzochin — Entrega de 13/10/2026</w:t>
      </w:r>
    </w:p>
    <w:p>
      <w:pPr>
        <w:spacing w:after="80"/>
      </w:pP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Este documento responde ao retorno consolidado de 15/09/2026. O Quadro 1 lista cada ajuste pedido pela banca, quem o pediu e onde foi atendido nas entregas E3, E4 e E5. O Quadro 2 confere os ajustes do retorno de 23/08. A seção 3 traz a decisão pendente sobre o título, e a seção 4 explica como os ajustes chegam à versão final do TCC I.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1 Ajustes da banca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 – </w:t>
      </w:r>
      <w:r>
        <w:rPr>
          <w:rFonts w:ascii="Arial" w:hAnsi="Arial" w:eastAsia="Arial" w:cs="Arial"/>
          <w:b w:val="0"/>
          <w:sz w:val="20"/>
          <w:lang w:val="pt-BR"/>
        </w:rPr>
        <w:t>Ajustes solicitados e onde foram atendidos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4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#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Ajuste solicitado</w:t>
            </w:r>
          </w:p>
        </w:tc>
        <w:tc>
          <w:tcPr>
            <w:tcW w:type="dxa" w:w="124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Apontado por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Onde foi atendido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Situação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Conceito de “verificação” dos valores esperados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Rafael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E3, seção 2.1: distinção entre valor apurado e validado. E4, seção 3. E5, seção 1: M9 e M11 medem a distância entre os dois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Atendido; título em decisão (seção 3)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Segurança e minimização dos dados enviados aos provedores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Rafael, Anderson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E4, seção 4: inventário por etapa, lista de colunas permitidas, pseudonimização, supressão e termos de cada provedor (Gemini só no nível pago; Groq com retenção zero). Backlog B18 e B19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Critérios de inclusão das tarefas definidos desde já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Anderson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E5, seção 5.2 (I1 a I5, E1 a E3) e Apêndice E, registrado em 13/10/2026 com o funil de seleção e as contagens reais do acervo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Definição de “aceito com alteração menor”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Anderson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E5, seção 5.5: rubrica com exemplos (Quadro 4) e calibração dos quatro analistas pelo kappa de Fleiss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Significância da diferença de tempo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Anderson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E5, seção 5.6: 30 tarefas pareadas, analistas diferentes por condição, t pareado ou Wilcoxon e tamanho do efeito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  <w:tr>
        <w:tc>
          <w:tcPr>
            <w:tcW w:type="dxa" w:w="340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Limite de generalização dos resultados</w:t>
            </w:r>
          </w:p>
        </w:tc>
        <w:tc>
          <w:tcPr>
            <w:tcW w:type="dxa" w:w="124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Anderson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E5, seção 6: o que os resultados permitem e não permitem afirmar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  <w:tr>
        <w:tc>
          <w:tcPr>
            <w:tcW w:type="dxa" w:w="340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7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Estrutura do ERP base</w:t>
            </w:r>
          </w:p>
        </w:tc>
        <w:tc>
          <w:tcPr>
            <w:tcW w:type="dxa" w:w="1247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Douglas</w:t>
            </w:r>
          </w:p>
        </w:tc>
        <w:tc>
          <w:tcPr>
            <w:tcW w:type="dxa" w:w="374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E4, seção 1 e Figura 1: ERP web com banco MySQL e diagrama de contexto da plataforma em relação a ele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Atendido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2 Ajustes de 23/08 conferidos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2 – </w:t>
      </w:r>
      <w:r>
        <w:rPr>
          <w:rFonts w:ascii="Arial" w:hAnsi="Arial" w:eastAsia="Arial" w:cs="Arial"/>
          <w:b w:val="0"/>
          <w:sz w:val="20"/>
          <w:lang w:val="pt-BR"/>
        </w:rPr>
        <w:t>Conferência dos ajustes de 23/08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969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Ajuste</w:t>
            </w:r>
          </w:p>
        </w:tc>
        <w:tc>
          <w:tcPr>
            <w:tcW w:type="dxa" w:w="5386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Conferência na proposta entregue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Cronograma na janela ago/2026 a jul/2027, com o marco do TCC I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Atendido: Quadro 2 da proposta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Referências da lista citadas no texto ou removidas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Atendido: Arredondo-Reyes, Karpurapu, Paduraru e Wynne e Hellesoy são citados na introdução</w:t>
            </w:r>
          </w:p>
        </w:tc>
      </w:tr>
      <w:tr>
        <w:tc>
          <w:tcPr>
            <w:tcW w:type="dxa" w:w="3969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Família do modelo servido pela Groq identificada</w:t>
            </w:r>
          </w:p>
        </w:tc>
        <w:tc>
          <w:tcPr>
            <w:tcW w:type="dxa" w:w="5386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Atendido: seção 5.4 identifica a família Llama, de pesos abertos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3 Decisão sobre o título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ponto 1 pede revisar a palavra “verificados”, e o retorno indica que a decisão será tomada em conjunto. Proponho a troca por “apurados”: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i/>
          <w:sz w:val="24"/>
          <w:lang w:val="pt-BR"/>
        </w:rPr>
        <w:t>Plataforma para geração de cenários de teste em sistemas ERP assistida por modelos de linguagem, com valores esperados apurados em banco de dados.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troca deixa o título prometer exatamente o que a plataforma garante, um valor obtido do banco, rastreável e reprodutível, e transfere a questão da validação para onde ela é de fato respondida: a avaliação, por meio da acurácia e da taxa de falso acordo. A alternativa é manter “verificados” e defini-lo no texto como “obtido por execução e conferido por analista”. A primeira opção me parece mais honesta e evita que a banca volte ao ponto. A decisão será tomada na próxima orientação.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4 Como os ajustes chegam à versão final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 proposta já foi entregue e não será reescrita. Os ajustes são incorporados diretamente nas entregas parciais, que formam as seções do artigo do TCC I, e o Quadro 1 deste documento entra como apêndice da versão final, com o título </w:t>
      </w:r>
      <w:r>
        <w:rPr>
          <w:rFonts w:ascii="Arial" w:hAnsi="Arial" w:eastAsia="Arial" w:cs="Arial"/>
          <w:b w:val="0"/>
          <w:i/>
          <w:sz w:val="24"/>
          <w:lang w:val="pt-BR"/>
        </w:rPr>
        <w:t>Ajustes solicitados na avaliação da proposta</w:t>
      </w:r>
      <w:r>
        <w:rPr>
          <w:rFonts w:ascii="Arial" w:hAnsi="Arial" w:eastAsia="Arial" w:cs="Arial"/>
          <w:b w:val="0"/>
          <w:sz w:val="24"/>
          <w:lang w:val="pt-BR"/>
        </w:rPr>
        <w:t>. Na defesa de validação, o mesmo quadro é apresentado em um slide, acompanhado das evidências indicadas pela orientação: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a distinção entre valor apurado e valor validado, e como a taxa de falso acordo mede a diferença;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o inventário do que é enviado aos provedores em cada etapa e as medidas de minimização;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os critérios de seleção escritos e os números do funil: 2.913 tarefas finalizadas no período, 694 disponíveis após os critérios verificáveis por consulta, e as selecionadas;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a rubrica de aceitação com exemplos e a concordância entre os analistas;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o desenho da comparação de tempo e o teste estatístico escolhido;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a seção de limitações;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o diagrama de contexto da plataforma em relação ao ERP.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número de tarefas citado na proposta, mais de quinhentas, era uma estimativa. A versão final adota a contagem real do Apêndice E da E5.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sz w:val="20"/>
        <w:lang w:val="pt-BR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Ajustes Solicitados Na Avaliação Da Proposta</dc:title>
  <dc:subject/>
  <dc:creator>Eduardo Krause</dc:creator>
  <cp:keywords/>
  <dc:description/>
  <cp:lastModifiedBy>Eduardo Krause</cp:lastModifiedBy>
  <cp:revision>1</cp:revision>
  <dcterms:created xsi:type="dcterms:W3CDTF">2013-12-23T23:15:00Z</dcterms:created>
  <dcterms:modified xsi:type="dcterms:W3CDTF">2013-12-23T23:15:00Z</dcterms:modified>
  <cp:category/>
</cp:coreProperties>
</file>