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80"/>
        <w:jc w:val="center"/>
      </w:pPr>
      <w:r>
        <w:rPr>
          <w:rFonts w:ascii="Arial" w:hAnsi="Arial" w:eastAsia="Arial" w:cs="Arial"/>
          <w:b/>
          <w:sz w:val="28"/>
          <w:lang w:val="pt-BR"/>
        </w:rPr>
        <w:t>E3 — FUNDAMENTAÇÃO TEÓRICA E TRABALHOS RELACIONADOS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Eduardo Krause (RA 12520157) — Análise e Desenvolvimento de Sistemas — UNIMATER</w:t>
      </w:r>
    </w:p>
    <w:p>
      <w:pPr>
        <w:spacing w:line="240" w:lineRule="auto" w:before="0" w:after="40"/>
        <w:jc w:val="center"/>
      </w:pPr>
      <w:r>
        <w:rPr>
          <w:rFonts w:ascii="Arial" w:hAnsi="Arial" w:eastAsia="Arial" w:cs="Arial"/>
          <w:sz w:val="20"/>
          <w:lang w:val="pt-BR"/>
        </w:rPr>
        <w:t>Orientador: Prof. Me. João Mazzochin — Entrega de 13/10/2026</w:t>
      </w:r>
    </w:p>
    <w:p>
      <w:pPr>
        <w:spacing w:after="80"/>
      </w:pPr>
    </w:p>
    <w:p>
      <w:pPr>
        <w:spacing w:line="360" w:lineRule="auto" w:before="0" w:after="120"/>
        <w:ind w:firstLine="0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Este documento traz o rascunho da Seção 2 do artigo, já no formato do template institucional, e o quadro comparativo que posiciona o trabalho frente à literatura. O texto parte das 40 referências e do fichamento entregues na E2. As referências citadas foram conferidas novamente nas páginas dos editores, o que gerou duas correções em relação à E2, registradas nas observações ao final.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2 Fundamentação Teórica e Trabalhos Relacionados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Esta seção apresenta os conceitos necessários à compreensão da metodologia, as tecnologias empregadas na solução e os trabalhos que tratam de problemas próximos ao investigado, encerrando com a comparação que delimita a contribuição pretendida.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2.1 Conceitos Fundamentais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desenvolvimento guiado por comportamento (</w:t>
      </w:r>
      <w:r>
        <w:rPr>
          <w:rFonts w:ascii="Arial" w:hAnsi="Arial" w:eastAsia="Arial" w:cs="Arial"/>
          <w:b w:val="0"/>
          <w:i/>
          <w:sz w:val="24"/>
          <w:lang w:val="pt-BR"/>
        </w:rPr>
        <w:t>behavior-driven development</w:t>
      </w:r>
      <w:r>
        <w:rPr>
          <w:rFonts w:ascii="Arial" w:hAnsi="Arial" w:eastAsia="Arial" w:cs="Arial"/>
          <w:b w:val="0"/>
          <w:sz w:val="24"/>
          <w:lang w:val="pt-BR"/>
        </w:rPr>
        <w:t>, BDD) é uma abordagem de especificação em que o comportamento esperado do sistema é descrito por exemplos concretos, redigidos em linguagem próxima à do negócio e compartilhados entre analistas, desenvolvedores e testadores (SOLIS; WANG, 2011). Esses exemplos são comumente escritos na notação Gherkin, que organiza cada cenário em passos de contexto (Dado), ação (Quando) e resultado esperado (Então), agrupados por funcionalidade (WYNNE; HELLESOY, 2012; CUCUMBER, 2026). No processo de teste descrito pela ISO/IEC/IEEE 29119-2 (2021), casos de teste são derivados de uma base de teste; neste trabalho, a base é composta pelo requisito da tarefa e pela documentação funcional da rotina. Revisões sistemáticas apontam o esforço de elaborar e manter os cenários como a principal dificuldade do BDD (FAROOQ et al., 2023; ARREDONDO-REYES et al., 2023).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Um caso de teste só tem valor se houver um oráculo, mecanismo que decide se o comportamento observado está correto. Barr et al. (2015) denominam problema do oráculo a dificuldade de obter esse mecanismo e distinguem oráculos especificados, derivados e implícitos, além do recurso ao julgamento humano quando nenhum deles está disponível. Em relatórios de sistemas de gestão, o oráculo é o valor que o relatório deve exibir para a massa de dados existente, hoje apurado manualmente pelo analista. A proposta substitui essa apuração por um oráculo derivado: o valor é obtido pela execução de consultas sobre os dados armazenados.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Convém distinguir dois atributos do valor obtido dessa forma. O valor é </w:t>
      </w:r>
      <w:r>
        <w:rPr>
          <w:rFonts w:ascii="Arial" w:hAnsi="Arial" w:eastAsia="Arial" w:cs="Arial"/>
          <w:b/>
          <w:sz w:val="24"/>
          <w:lang w:val="pt-BR"/>
        </w:rPr>
        <w:t>apurado</w:t>
      </w:r>
      <w:r>
        <w:rPr>
          <w:rFonts w:ascii="Arial" w:hAnsi="Arial" w:eastAsia="Arial" w:cs="Arial"/>
          <w:b w:val="0"/>
          <w:sz w:val="24"/>
          <w:lang w:val="pt-BR"/>
        </w:rPr>
        <w:t xml:space="preserve"> quando provém da execução de uma consulta sobre os dados armazenados, sendo rastreável e reprodutível; é </w:t>
      </w:r>
      <w:r>
        <w:rPr>
          <w:rFonts w:ascii="Arial" w:hAnsi="Arial" w:eastAsia="Arial" w:cs="Arial"/>
          <w:b/>
          <w:sz w:val="24"/>
          <w:lang w:val="pt-BR"/>
        </w:rPr>
        <w:t>validado</w:t>
      </w:r>
      <w:r>
        <w:rPr>
          <w:rFonts w:ascii="Arial" w:hAnsi="Arial" w:eastAsia="Arial" w:cs="Arial"/>
          <w:b w:val="0"/>
          <w:sz w:val="24"/>
          <w:lang w:val="pt-BR"/>
        </w:rPr>
        <w:t xml:space="preserve"> quando a consulta representa corretamente a regra de negócio que o relatório implementa. A execução assegura o primeiro atributo, mas não o segundo: uma consulta pode executar sem erro, retornar dados reais e ainda calcular outra coisa. A plataforma garante a apuração; a validação depende do consenso entre modelos, como indicador de confiança, e da conferência do analista, como decisão final.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Modelos de linguagem de grande porte passaram a ser aplicados a praticamente todas as atividades da engenharia de software (HOU et al., 2024), inclusive ao teste (WANG et al., 2024). A limitação central para o problema aqui tratado é a alucinação, isto é, a produção de conteúdo fluente e plausível, porém infiel aos fatos ou à fonte (HUANG et al., 2025). Em engenharia de software, ela se manifesta em artefatos que aparentam correção sem tê-la, agravada pela não determinação das saídas e pela substituição frequente das versões dos modelos, que comprometem a reprodutibilidade (SALLOU; DURIEUX; PANICHELLA, 2024). Uma das estratégias de mitigação é ancorar a geração em conteúdo recuperado de fonte externa no momento da consulta (LEWIS et al., 2020; HUANG et al., 2025), papel que, na solução, cabe ao requisito, à documentação da rotina e ao catálogo do banco de dados.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A apuração dos valores esperados apoia-se na tradução de perguntas em linguagem natural para consultas SQL (</w:t>
      </w:r>
      <w:r>
        <w:rPr>
          <w:rFonts w:ascii="Arial" w:hAnsi="Arial" w:eastAsia="Arial" w:cs="Arial"/>
          <w:b w:val="0"/>
          <w:i/>
          <w:sz w:val="24"/>
          <w:lang w:val="pt-BR"/>
        </w:rPr>
        <w:t>text-to-SQL</w:t>
      </w:r>
      <w:r>
        <w:rPr>
          <w:rFonts w:ascii="Arial" w:hAnsi="Arial" w:eastAsia="Arial" w:cs="Arial"/>
          <w:b w:val="0"/>
          <w:sz w:val="24"/>
          <w:lang w:val="pt-BR"/>
        </w:rPr>
        <w:t>). No conjunto Spider (YU et al., 2018), abordagens baseadas em modelos de linguagem superam 85% de acurácia por execução (POURREZA; RAFIEI, 2023; GAO et al., 2024). O desempenho cai quando esquema e dados se aproximam dos corporativos: no BIRD, com 95 bancos e 33,4 GB de dados, o ChatGPT atingiu 40,08% de acurácia por execução, contra 92,96% de especialistas humanos (LI et al., 2023); no Spider 2.0, com 632 problemas derivados de fluxos de trabalho empresariais, o melhor agente avaliado resolveu 21,3% das tarefas (LEI et al., 2025). A acurácia por execução considera correta a consulta cujo conjunto de resultado coincide com o da consulta de referência. Zhong, Yu e Klein (2020) mostram que esse critério evita os falsos negativos da comparação textual, de 2,5% em média e 8,1% no pior caso, mas que, executado sobre uma única base, admite falsos positivos, quando consultas distintas coincidem por acaso nos dados disponíveis. Neste trabalho, a comparação de conjuntos de resultado é o critério para decidir se dois modelos concordam, e o risco de falso positivo corresponde ao falso acordo: modelos que concordam em uma consulta que não representa a regra de negócio. A taxa de falso acordo mede, portanto, a distância entre valor apurado e valor validado.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Por fim, a decisão por concordância apoia-se em resultados que mostram ganho ao substituir uma única saída pela mais frequente entre várias. Wang et al. (2023) amostram diversos raciocínios de um mesmo modelo e adotam a resposta majoritária, estratégia denominada autoconsistência, com ganho de 17,9 pontos percentuais no conjunto GSM8K. Du et al. (2024) fazem múltiplas instâncias debaterem suas respostas até convergirem, o que reduz afirmações falaciosas; seus experimentos principais usam instâncias de um mesmo modelo, e apenas um experimento reduzido, com 20 problemas, combina modelos de famílias distintas. Como amostras de um mesmo modelo tendem a compartilhar os mesmos erros, a hipótese de que modelos de origens distintas reduzem essa correlação permanece pouco explorada, e é examinada neste trabalho por meio da taxa de falso acordo.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2.2 Tecnologias Envolvidas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Três modelos de linguagem de famílias distintas são empregados: Claude, da Anthropic; Gemini, do Google; e um modelo de pesos abertos da família Llama, acessado pela infraestrutura de inferência da Groq. A distinção de origem é condição para a validade do consenso, e o número três decorre da necessidade de desempate. As versões exatas de cada modelo serão fixadas e registradas antes dos experimentos, em atenção ao risco de reprodutibilidade apontado por Sallou, Durieux e Panichella (2024).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sistema gerenciador de banco de dados é o MySQL, no qual reside a base de homologação do sistema estudado e do qual provêm os valores de referência. O esquema é extraído das visões do INFORMATION_SCHEMA, que expõem tabelas, colunas, tipos, chaves e restrições de integridade referencial (ORACLE, 2026), e o plano de execução é obtido pelo comando EXPLAIN antes de cada execução. Os cenários seguem a gramática Gherkin (CUCUMBER, 2026), verificada por analisador sintático antes da entrega ao analista.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A camada de orquestração é implementada em Java com o </w:t>
      </w:r>
      <w:r>
        <w:rPr>
          <w:rFonts w:ascii="Arial" w:hAnsi="Arial" w:eastAsia="Arial" w:cs="Arial"/>
          <w:b w:val="0"/>
          <w:i/>
          <w:sz w:val="24"/>
          <w:lang w:val="pt-BR"/>
        </w:rPr>
        <w:t>framework</w:t>
      </w:r>
      <w:r>
        <w:rPr>
          <w:rFonts w:ascii="Arial" w:hAnsi="Arial" w:eastAsia="Arial" w:cs="Arial"/>
          <w:b w:val="0"/>
          <w:sz w:val="24"/>
          <w:lang w:val="pt-BR"/>
        </w:rPr>
        <w:t xml:space="preserve"> Spring Boot, escolha que oferece acesso nativo a bancos relacionais e execução concorrente das chamadas aos três modelos; a interface é desenvolvida em React. Requisitos e documentação são lidos das interfaces de programação do Jira e do Confluence, ferramentas de gestão de tarefas e de documentação adotadas pela equipe. Ambas as camadas são empacotadas em um único artefato executado localmente, pois as credenciais de acesso aos modelos e ao banco não podem residir no navegador e o banco corporativo não deve ser exposto à rede externa.</w:t>
      </w:r>
    </w:p>
    <w:p>
      <w:pPr>
        <w:keepNext/>
        <w:spacing w:line="360" w:lineRule="auto" w:before="160" w:after="40"/>
        <w:jc w:val="left"/>
      </w:pPr>
      <w:r>
        <w:rPr>
          <w:rFonts w:ascii="Arial" w:hAnsi="Arial" w:eastAsia="Arial" w:cs="Arial"/>
          <w:b/>
          <w:sz w:val="24"/>
          <w:lang w:val="pt-BR"/>
        </w:rPr>
        <w:t>2.3 Trabalhos Relacionados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 Quadro 1 compara os trabalhos mais próximos segundo os critérios que distinguem a proposta: as fontes de entrada, o artefato produzido, a apuração de valores esperados sobre dados reais, o uso de mais de um modelo e o contexto em que a solução foi avaliada.</w:t>
      </w:r>
    </w:p>
    <w:p>
      <w:pPr>
        <w:keepNext/>
        <w:spacing w:line="240" w:lineRule="auto" w:before="120" w:after="80"/>
        <w:jc w:val="center"/>
      </w:pPr>
      <w:r>
        <w:rPr>
          <w:rFonts w:ascii="Arial" w:hAnsi="Arial" w:eastAsia="Arial" w:cs="Arial"/>
          <w:b/>
          <w:sz w:val="20"/>
          <w:lang w:val="pt-BR"/>
        </w:rPr>
        <w:t xml:space="preserve">Quadro 1 – </w:t>
      </w:r>
      <w:r>
        <w:rPr>
          <w:rFonts w:ascii="Arial" w:hAnsi="Arial" w:eastAsia="Arial" w:cs="Arial"/>
          <w:b w:val="0"/>
          <w:sz w:val="20"/>
          <w:lang w:val="pt-BR"/>
        </w:rPr>
        <w:t>Comparação entre os trabalhos relacionados e a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70" w:type="dxa"/>
          <w:right w:w="70" w:type="dxa"/>
          <w:top w:w="25" w:type="dxa"/>
          <w:bottom w:w="25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41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Trabalho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Entrada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Saída</w:t>
            </w:r>
          </w:p>
        </w:tc>
        <w:tc>
          <w:tcPr>
            <w:tcW w:type="dxa" w:w="1332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Valor esperado apurado em dados reais</w:t>
            </w:r>
          </w:p>
        </w:tc>
        <w:tc>
          <w:tcPr>
            <w:tcW w:type="dxa" w:w="1361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Uso de vários modelos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Contexto e validação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Karpurapu et al. (2024)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i/>
                <w:sz w:val="17"/>
                <w:lang w:val="pt-BR"/>
              </w:rPr>
              <w:t>User stories</w:t>
            </w: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 xml:space="preserve"> públicas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Cenários Gherkin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Compara quatro modelos, sem combiná-los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Acadêmico; validação sintática dos arquivos gerados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Fernandes et al. (2025)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Descrições livres de casos de teste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Cenários Gherkin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Compara sete modelos, sem combiná-los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Sistema em produção, dez casos; similaridade textual com referência de especialista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Paduraru, Zavelca e Stefanescu (2025)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Descrição em linguagem natural e passos já implementados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Passos Gherkin vinculados ao código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Um modelo ajustado, com agentes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Industrial (jogos); testes sintéticos e estudo qualitativo com profissionais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Ferreira et al. (2025)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i/>
                <w:sz w:val="17"/>
                <w:lang w:val="pt-BR"/>
              </w:rPr>
              <w:t>User story</w:t>
            </w: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 xml:space="preserve"> do Jira e HTML das páginas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Gherkin e roteiros Cypress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Um modelo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Industrial (web); utilidade percebida por profissionais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Fonseca, Lima e Faria (2025)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Tarefa do Jira e alterações de código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Gherkin, Page Objects e roteiros de interface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Um modelo por etapa, sem votação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Industrial (aplicativo móvel); sintaxe, execução e percepção de profissionais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Garg e Sharma (2023)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Solicitação do usuário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Casos e cenários de teste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Um modelo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ERP; sem avaliação empírica</w:t>
            </w:r>
          </w:p>
        </w:tc>
      </w:tr>
      <w:tr>
        <w:tc>
          <w:tcPr>
            <w:tcW w:type="dxa" w:w="141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Mendoza et al. (2024)</w:t>
            </w:r>
          </w:p>
        </w:tc>
        <w:tc>
          <w:tcPr>
            <w:tcW w:type="dxa" w:w="1587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Cenários BDD</w:t>
            </w:r>
          </w:p>
        </w:tc>
        <w:tc>
          <w:tcPr>
            <w:tcW w:type="dxa" w:w="1474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Dados de teste sintéticos</w:t>
            </w:r>
          </w:p>
        </w:tc>
        <w:tc>
          <w:tcPr>
            <w:tcW w:type="dxa" w:w="1332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Não; gera massa nova</w:t>
            </w:r>
          </w:p>
        </w:tc>
        <w:tc>
          <w:tcPr>
            <w:tcW w:type="dxa" w:w="1361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Compara quatro ferramentas, sem combiná-las</w:t>
            </w:r>
          </w:p>
        </w:tc>
        <w:tc>
          <w:tcPr>
            <w:tcW w:type="dxa" w:w="2183"/>
          </w:tcPr>
          <w:p>
            <w:pPr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 w:val="0"/>
                <w:sz w:val="17"/>
                <w:lang w:val="pt-BR"/>
              </w:rPr>
              <w:t>Cinco cenários ilustrativos; avaliação qualitativa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Este trabalho</w:t>
            </w:r>
          </w:p>
        </w:tc>
        <w:tc>
          <w:tcPr>
            <w:tcW w:type="dxa" w:w="1587"/>
            <w:shd w:val="clear" w:color="auto" w:fill="F2F2F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Requisito do Jira, documentação da rotina e esquema do banco</w:t>
            </w:r>
          </w:p>
        </w:tc>
        <w:tc>
          <w:tcPr>
            <w:tcW w:type="dxa" w:w="1474"/>
            <w:shd w:val="clear" w:color="auto" w:fill="F2F2F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Cenários Gherkin com valores esperados e consultas anexadas</w:t>
            </w:r>
          </w:p>
        </w:tc>
        <w:tc>
          <w:tcPr>
            <w:tcW w:type="dxa" w:w="1332"/>
            <w:shd w:val="clear" w:color="auto" w:fill="F2F2F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Sim, por execução em homologação</w:t>
            </w:r>
          </w:p>
        </w:tc>
        <w:tc>
          <w:tcPr>
            <w:tcW w:type="dxa" w:w="1361"/>
            <w:shd w:val="clear" w:color="auto" w:fill="F2F2F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Três famílias, com decisão por consenso</w:t>
            </w:r>
          </w:p>
        </w:tc>
        <w:tc>
          <w:tcPr>
            <w:tcW w:type="dxa" w:w="2183"/>
            <w:shd w:val="clear" w:color="auto" w:fill="F2F2F2"/>
          </w:tcPr>
          <w:p>
            <w:pPr>
              <w:keepNext/>
              <w:spacing w:line="240" w:lineRule="auto" w:before="0" w:after="0"/>
              <w:jc w:val="left"/>
            </w:pPr>
            <w:r>
              <w:rPr>
                <w:rFonts w:ascii="Arial" w:hAnsi="Arial" w:eastAsia="Arial" w:cs="Arial"/>
                <w:b/>
                <w:sz w:val="17"/>
                <w:lang w:val="pt-BR"/>
              </w:rPr>
              <w:t>ERP em uso (estoque e vendas); avaliação por analistas e contra conjunto de referência</w:t>
            </w:r>
          </w:p>
        </w:tc>
      </w:tr>
    </w:tbl>
    <w:p>
      <w:pPr>
        <w:spacing w:line="240" w:lineRule="auto" w:before="40" w:after="200"/>
        <w:jc w:val="center"/>
      </w:pPr>
      <w:r>
        <w:rPr>
          <w:rFonts w:ascii="Arial" w:hAnsi="Arial" w:eastAsia="Arial" w:cs="Arial"/>
          <w:b w:val="0"/>
          <w:sz w:val="20"/>
          <w:lang w:val="pt-BR"/>
        </w:rPr>
        <w:t>Fonte: elaborado pelo autor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Os dois primeiros trabalhos medem a capacidade de modelos de converter textos em Gherkin. Karpurapu et al. (2024) comparam quatro modelos sobre </w:t>
      </w:r>
      <w:r>
        <w:rPr>
          <w:rFonts w:ascii="Arial" w:hAnsi="Arial" w:eastAsia="Arial" w:cs="Arial"/>
          <w:b w:val="0"/>
          <w:i/>
          <w:sz w:val="24"/>
          <w:lang w:val="pt-BR"/>
        </w:rPr>
        <w:t>user stories</w:t>
      </w:r>
      <w:r>
        <w:rPr>
          <w:rFonts w:ascii="Arial" w:hAnsi="Arial" w:eastAsia="Arial" w:cs="Arial"/>
          <w:b w:val="0"/>
          <w:sz w:val="24"/>
          <w:lang w:val="pt-BR"/>
        </w:rPr>
        <w:t xml:space="preserve"> públicas e verificam apenas a sintaxe dos arquivos gerados; Fernandes et al. (2025) comparam sete modelos e três estratégias de </w:t>
      </w:r>
      <w:r>
        <w:rPr>
          <w:rFonts w:ascii="Arial" w:hAnsi="Arial" w:eastAsia="Arial" w:cs="Arial"/>
          <w:b w:val="0"/>
          <w:i/>
          <w:sz w:val="24"/>
          <w:lang w:val="pt-BR"/>
        </w:rPr>
        <w:t>prompt</w:t>
      </w:r>
      <w:r>
        <w:rPr>
          <w:rFonts w:ascii="Arial" w:hAnsi="Arial" w:eastAsia="Arial" w:cs="Arial"/>
          <w:b w:val="0"/>
          <w:sz w:val="24"/>
          <w:lang w:val="pt-BR"/>
        </w:rPr>
        <w:t xml:space="preserve"> sobre casos de um sistema em produção, medindo a similaridade com cenários escritos por especialista. Ambos confirmam a viabilidade da geração, mas tratam os modelos como alternativas a escolher, e não como fontes a combinar, e nenhum verifica se o resultado esperado descrito no cenário está correto.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 xml:space="preserve">Os três trabalhos seguintes levam a geração ao ambiente industrial. Paduraru, Zavelca e Stefanescu (2025) vinculam passos Gherkin a implementações existentes, com humano no ciclo; Ferreira et al. (2025) partem de </w:t>
      </w:r>
      <w:r>
        <w:rPr>
          <w:rFonts w:ascii="Arial" w:hAnsi="Arial" w:eastAsia="Arial" w:cs="Arial"/>
          <w:b w:val="0"/>
          <w:i/>
          <w:sz w:val="24"/>
          <w:lang w:val="pt-BR"/>
        </w:rPr>
        <w:t>user stories</w:t>
      </w:r>
      <w:r>
        <w:rPr>
          <w:rFonts w:ascii="Arial" w:hAnsi="Arial" w:eastAsia="Arial" w:cs="Arial"/>
          <w:b w:val="0"/>
          <w:sz w:val="24"/>
          <w:lang w:val="pt-BR"/>
        </w:rPr>
        <w:t xml:space="preserve"> do Jira e chegam a roteiros Cypress; e Fonseca, Lima e Faria (2025), o trabalho mais próximo, geram cenários, Page Objects e roteiros executáveis a partir de tarefas do Jira e das alterações de código, com 93,3% dos cenários sintaticamente corretos. A integração com a ferramenta de gestão e a geração a partir do requisito, portanto, já estão cobertas pela literatura, e não constituem diferencial desta proposta. O que permanece em aberto é o uso da documentação funcional como segunda fonte, capaz de cobrir os comportamentos que a rotina já deveria apresentar e que o requisito não menciona, e qualquer forma de oráculo de dados: nesses trabalhos, a verificação incide sobre a sintaxe e a execução do roteiro, nunca sobre o resultado de negócio.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Os dois últimos tocam o domínio e os dados. Garg e Sharma (2023) aplicam IA generativa à modelagem de testes de ERP, mas sem avaliação empírica. Mendoza et al. (2024) comparam ferramentas na geração de dados de teste a partir de cenários BDD, o caminho inverso ao proposto: geram massa sintética, enquanto este trabalho parte da massa existente e apura o valor que o sistema deve apresentar sobre ela.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 w:eastAsia="Arial" w:cs="Arial"/>
          <w:b w:val="0"/>
          <w:sz w:val="24"/>
          <w:lang w:val="pt-BR"/>
        </w:rPr>
        <w:t>Diferentemente dos trabalhos apresentados, este trabalho confronta a saída dos modelos com os dados efetivamente armazenados: o valor esperado de cada cenário é apurado pela execução, em ambiente somente leitura, de consultas geradas de forma independente por modelos de três famílias, e só é proposto como referência quando ao menos dois resultados coincidem, cabendo ao analista validá-lo. Articula, assim, duas linhas que a literatura trata em separado, a geração de cenários e a tradução para SQL, e avalia empiricamente essa articulação em um sistema de gestão em uso, medindo inclusive quando o consenso engana.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Referências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ARREDONDO-REYES, V. M.; DOMÍNGUEZ-ISIDRO, S.; SÁNCHEZ-GARCÍA, Á. J.; OCHARÁN-HERNÁNDEZ, J. O. Benefits and Challenges of the Behavior-Driven Development: A Systematic Literature Review. In: INTERNATIONAL CONFERENCE IN SOFTWARE ENGINEERING RESEARCH AND INNOVATION (CONISOFT), 11., 2023. </w:t>
      </w:r>
      <w:r>
        <w:rPr>
          <w:rFonts w:ascii="Arial" w:hAnsi="Arial" w:eastAsia="Arial" w:cs="Arial"/>
          <w:b/>
          <w:sz w:val="24"/>
          <w:lang w:val="pt-BR"/>
        </w:rPr>
        <w:t>Anais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2023. p. 45-54. DOI: 10.1109/CONISOFT58849.2023.00016.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BARR, E. T.; HARMAN, M.; McMINN, P.; SHAHBAZ, M.; YOO, S. The Oracle Problem in Software Testing: A Survey. </w:t>
      </w:r>
      <w:r>
        <w:rPr>
          <w:rFonts w:ascii="Arial" w:hAnsi="Arial" w:eastAsia="Arial" w:cs="Arial"/>
          <w:b/>
          <w:sz w:val="24"/>
          <w:lang w:val="pt-BR"/>
        </w:rPr>
        <w:t>IEEE Transactions on Software Engineering</w:t>
      </w:r>
      <w:r>
        <w:rPr>
          <w:rFonts w:ascii="Arial" w:hAnsi="Arial" w:eastAsia="Arial" w:cs="Arial"/>
          <w:b w:val="0"/>
          <w:sz w:val="24"/>
          <w:lang w:val="pt-BR"/>
        </w:rPr>
        <w:t>, v. 41, n. 5, p. 507-525, 2015. DOI: 10.1109/TSE.2014.2372785.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CUCUMBER. </w:t>
      </w:r>
      <w:r>
        <w:rPr>
          <w:rFonts w:ascii="Arial" w:hAnsi="Arial" w:eastAsia="Arial" w:cs="Arial"/>
          <w:b/>
          <w:sz w:val="24"/>
          <w:lang w:val="pt-BR"/>
        </w:rPr>
        <w:t>Gherkin Reference</w:t>
      </w:r>
      <w:r>
        <w:rPr>
          <w:rFonts w:ascii="Arial" w:hAnsi="Arial" w:eastAsia="Arial" w:cs="Arial"/>
          <w:b w:val="0"/>
          <w:sz w:val="24"/>
          <w:lang w:val="pt-BR"/>
        </w:rPr>
        <w:t>. 2026. Disponível em: https://cucumber.io/docs/gherkin/reference/. Acesso em: 9 set. 2026.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DU, Y.; LI, S.; TORRALBA, A.; TENENBAUM, J. B.; MORDATCH, I. Improving Factuality and Reasoning in Language Models through Multiagent Debate. In: INTERNATIONAL CONFERENCE ON MACHINE LEARNING (ICML), 41., 2024, Viena.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PMLR, 2024. v. 235, p. 11733-11763.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FAROOQ, M. S.; OMER, U.; RAMZAN, A.; RASHEED, M. A.; ATAL, Z. Behavior Driven Development: A Systematic Literature Review. </w:t>
      </w:r>
      <w:r>
        <w:rPr>
          <w:rFonts w:ascii="Arial" w:hAnsi="Arial" w:eastAsia="Arial" w:cs="Arial"/>
          <w:b/>
          <w:sz w:val="24"/>
          <w:lang w:val="pt-BR"/>
        </w:rPr>
        <w:t>IEEE Access</w:t>
      </w:r>
      <w:r>
        <w:rPr>
          <w:rFonts w:ascii="Arial" w:hAnsi="Arial" w:eastAsia="Arial" w:cs="Arial"/>
          <w:b w:val="0"/>
          <w:sz w:val="24"/>
          <w:lang w:val="pt-BR"/>
        </w:rPr>
        <w:t>, v. 11, p. 88008-88024, 2023. DOI: 10.1109/ACCESS.2023.3302356.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FERNANDES, H.; PERKUSICH, M.; ALBUQUERQUE, D.; SILVA, I.; SANTOS, D. F. S.; GORGÔNIO, K.; PERKUSICH, A. A Comparative Study of LLMs for Gherkin Generation. In: SIMPÓSIO BRASILEIRO DE ENGENHARIA DE SOFTWARE (SBES), 39., 2025, Recife. </w:t>
      </w:r>
      <w:r>
        <w:rPr>
          <w:rFonts w:ascii="Arial" w:hAnsi="Arial" w:eastAsia="Arial" w:cs="Arial"/>
          <w:b/>
          <w:sz w:val="24"/>
          <w:lang w:val="pt-BR"/>
        </w:rPr>
        <w:t>Anais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Porto Alegre: Sociedade Brasileira de Computação, 2025. p. 171-181. DOI: 10.5753/sbes.2025.9888.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FERREIRA, M.; VIEGAS, L.; FARIA, J. P.; LIMA, B. Acceptance Test Generation with Large Language Models: An Industrial Case Study. In: IEEE/ACM INTERNATIONAL CONFERENCE ON AUTOMATION OF SOFTWARE TEST (AST), 2025.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2025. DOI: 10.1109/AST66626.2025.00007.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FONSECA, P. L.; LIMA, B.; FARIA, J. P. Streamlining Acceptance Test Generation for Mobile Applications Through Large Language Models: An Industrial Case Study. In: IEEE/ACM INTERNATIONAL CONFERENCE ON AUTOMATED SOFTWARE ENGINEERING (ASE), 40., 2025.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2025. DOI: 10.1109/ASE63991.2025.00273.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GAO, D.; WANG, H.; LI, Y.; SUN, X.; QIAN, Y.; DING, B.; ZHOU, J. Text-to-SQL Empowered by Large Language Models: A Benchmark Evaluation. </w:t>
      </w:r>
      <w:r>
        <w:rPr>
          <w:rFonts w:ascii="Arial" w:hAnsi="Arial" w:eastAsia="Arial" w:cs="Arial"/>
          <w:b/>
          <w:sz w:val="24"/>
          <w:lang w:val="pt-BR"/>
        </w:rPr>
        <w:t>Proceedings of the VLDB Endowment</w:t>
      </w:r>
      <w:r>
        <w:rPr>
          <w:rFonts w:ascii="Arial" w:hAnsi="Arial" w:eastAsia="Arial" w:cs="Arial"/>
          <w:b w:val="0"/>
          <w:sz w:val="24"/>
          <w:lang w:val="pt-BR"/>
        </w:rPr>
        <w:t>, v. 17, n. 5, p. 1132-1145, 2024. DOI: 10.14778/3641204.3641221.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GARG, A.; SHARMA, D. Generative AI for Software Test Modelling with a focus on ERP Software. In: INTERNATIONAL CONFERENCE ON ADVANCES IN COMPUTATION, COMMUNICATION AND INFORMATION TECHNOLOGY (ICAICCIT), 2023, Faridabad.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2023. p. 187-193. DOI: 10.1109/ICAICCIT60255.2023.10466102.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HOU, X.; ZHAO, Y.; LIU, Y.; YANG, Z.; WANG, K.; LI, L.; LUO, X.; LO, D.; GRUNDY, J.; WANG, H. Large Language Models for Software Engineering: A Systematic Literature Review. </w:t>
      </w:r>
      <w:r>
        <w:rPr>
          <w:rFonts w:ascii="Arial" w:hAnsi="Arial" w:eastAsia="Arial" w:cs="Arial"/>
          <w:b/>
          <w:sz w:val="24"/>
          <w:lang w:val="pt-BR"/>
        </w:rPr>
        <w:t>ACM Transactions on Software Engineering and Methodology</w:t>
      </w:r>
      <w:r>
        <w:rPr>
          <w:rFonts w:ascii="Arial" w:hAnsi="Arial" w:eastAsia="Arial" w:cs="Arial"/>
          <w:b w:val="0"/>
          <w:sz w:val="24"/>
          <w:lang w:val="pt-BR"/>
        </w:rPr>
        <w:t>, v. 33, n. 8, art. 220, 2024. DOI: 10.1145/3695988.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HUANG, L.; YU, W.; MA, W.; ZHONG, W.; FENG, Z.; WANG, H.; CHEN, Q.; PENG, W.; FENG, X.; QIN, B.; LIU, T. A Survey on Hallucination in Large Language Models: Principles, Taxonomy, Challenges, and Open Questions. </w:t>
      </w:r>
      <w:r>
        <w:rPr>
          <w:rFonts w:ascii="Arial" w:hAnsi="Arial" w:eastAsia="Arial" w:cs="Arial"/>
          <w:b/>
          <w:sz w:val="24"/>
          <w:lang w:val="pt-BR"/>
        </w:rPr>
        <w:t>ACM Transactions on Information Systems</w:t>
      </w:r>
      <w:r>
        <w:rPr>
          <w:rFonts w:ascii="Arial" w:hAnsi="Arial" w:eastAsia="Arial" w:cs="Arial"/>
          <w:b w:val="0"/>
          <w:sz w:val="24"/>
          <w:lang w:val="pt-BR"/>
        </w:rPr>
        <w:t>, v. 43, n. 2, art. 42, p. 1-55, 2025. DOI: 10.1145/3703155.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INTERNATIONAL ORGANIZATION FOR STANDARDIZATION. </w:t>
      </w:r>
      <w:r>
        <w:rPr>
          <w:rFonts w:ascii="Arial" w:hAnsi="Arial" w:eastAsia="Arial" w:cs="Arial"/>
          <w:b/>
          <w:sz w:val="24"/>
          <w:lang w:val="pt-BR"/>
        </w:rPr>
        <w:t>ISO/IEC/IEEE 29119-2:2021</w:t>
      </w:r>
      <w:r>
        <w:rPr>
          <w:rFonts w:ascii="Arial" w:hAnsi="Arial" w:eastAsia="Arial" w:cs="Arial"/>
          <w:b w:val="0"/>
          <w:sz w:val="24"/>
          <w:lang w:val="pt-BR"/>
        </w:rPr>
        <w:t>: Software and systems engineering — Software testing — Part 2: Test processes. 2. ed. Genebra: ISO, 2021.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KARPURAPU, S.; MYNENI, S.; NETTUR, U.; GAJJA, L. S.; BURKE, D.; STIEHM, T.; PAYNE, J. Comprehensive Evaluation and Insights Into the Use of Large Language Models in the Automation of Behavior-Driven Development Acceptance Test Formulation. </w:t>
      </w:r>
      <w:r>
        <w:rPr>
          <w:rFonts w:ascii="Arial" w:hAnsi="Arial" w:eastAsia="Arial" w:cs="Arial"/>
          <w:b/>
          <w:sz w:val="24"/>
          <w:lang w:val="pt-BR"/>
        </w:rPr>
        <w:t>IEEE Access</w:t>
      </w:r>
      <w:r>
        <w:rPr>
          <w:rFonts w:ascii="Arial" w:hAnsi="Arial" w:eastAsia="Arial" w:cs="Arial"/>
          <w:b w:val="0"/>
          <w:sz w:val="24"/>
          <w:lang w:val="pt-BR"/>
        </w:rPr>
        <w:t>, v. 12, p. 58715-58730, 2024. DOI: 10.1109/ACCESS.2024.3391815.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LEI, F.; CHEN, J.; YE, Y.; CAO, R.; SHIN, D.; SU, H.; SUO, Z.; GAO, H.; HU, W.; YIN, P.; ZHONG, V.; XIONG, C.; SUN, R.; LIU, Q.; WANG, S.; YU, T. Spider 2.0: Evaluating Language Models on Real-World Enterprise Text-to-SQL Workflows. In: INTERNATIONAL CONFERENCE ON LEARNING REPRESENTATIONS (ICLR), 13., 2025, Singapura.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OpenReview.net, 2025.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LEWIS, P.; PEREZ, E.; PIKTUS, A.; PETRONI, F.; KARPUKHIN, V.; GOYAL, N.; KÜTTLER, H.; LEWIS, M.; YIH, W.; ROCKTÄSCHEL, T.; RIEDEL, S.; KIELA, D. Retrieval-Augmented Generation for Knowledge-Intensive NLP Tasks. In: ADVANCES IN NEURAL INFORMATION PROCESSING SYSTEMS (NeurIPS), 33., 2020.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Curran Associates, 2020. p. 9459-9474.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LI, J.; HUI, B.; QU, G.; YANG, J.; LI, B.; LI, B.; WANG, B.; QIN, B.; GENG, R.; HUO, N.; ZHOU, X.; MA, C.; LI, G.; CHANG, K.; HUANG, F.; CHENG, R.; LI, Y. Can LLM Already Serve as a Database Interface? A BIg Bench for Large-Scale Database Grounded Text-to-SQLs. In: ADVANCES IN NEURAL INFORMATION PROCESSING SYSTEMS (NeurIPS), 36., 2023.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Datasets and Benchmarks Track. Curran Associates, 2023.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MENDOZA, I.; SILVA FILHO, F.; MEDEIROS, G.; PAES, A.; NEVES, V. O. Comparative Analysis of Large Language Model Tools for Automated Test Data Generation from BDD. In: SIMPÓSIO BRASILEIRO DE ENGENHARIA DE SOFTWARE (SBES), 38., 2024, Curitiba. </w:t>
      </w:r>
      <w:r>
        <w:rPr>
          <w:rFonts w:ascii="Arial" w:hAnsi="Arial" w:eastAsia="Arial" w:cs="Arial"/>
          <w:b/>
          <w:sz w:val="24"/>
          <w:lang w:val="pt-BR"/>
        </w:rPr>
        <w:t>Anais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Porto Alegre: Sociedade Brasileira de Computação, 2024. p. 280-290. DOI: 10.5753/sbes.2024.3423.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ORACLE. </w:t>
      </w:r>
      <w:r>
        <w:rPr>
          <w:rFonts w:ascii="Arial" w:hAnsi="Arial" w:eastAsia="Arial" w:cs="Arial"/>
          <w:b/>
          <w:sz w:val="24"/>
          <w:lang w:val="pt-BR"/>
        </w:rPr>
        <w:t>MySQL 8.4 Reference Manual</w:t>
      </w:r>
      <w:r>
        <w:rPr>
          <w:rFonts w:ascii="Arial" w:hAnsi="Arial" w:eastAsia="Arial" w:cs="Arial"/>
          <w:b w:val="0"/>
          <w:sz w:val="24"/>
          <w:lang w:val="pt-BR"/>
        </w:rPr>
        <w:t>: INFORMATION_SCHEMA Tables. 2026. Disponível em: https://dev.mysql.com/doc/refman/8.4/en/information-schema.html. Acesso em: 9 set. 2026.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PADURARU, C.; ZAVELCA, M.; STEFANESCU, A. Agentic AI for Behavior-Driven Development Testing Using Large Language Models. In: INTERNATIONAL CONFERENCE ON AGENTS AND ARTIFICIAL INTELLIGENCE (ICAART), 17., 2025.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SciTePress, 2025. v. 2, p. 805-815. DOI: 10.5220/0013374400003890.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POURREZA, M.; RAFIEI, D. DIN-SQL: Decomposed In-Context Learning of Text-to-SQL with Self-Correction. In: ADVANCES IN NEURAL INFORMATION PROCESSING SYSTEMS (NeurIPS), 36., 2023.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Curran Associates, 2023. p. 36339-36348.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SALLOU, J.; DURIEUX, T.; PANICHELLA, A. Breaking the Silence: the Threats of Using LLMs in Software Engineering. In: INTERNATIONAL CONFERENCE ON SOFTWARE ENGINEERING: NEW IDEAS AND EMERGING RESULTS (ICSE-NIER), 46., 2024, Lisboa.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New York: ACM, 2024. p. 102-106. DOI: 10.1145/3639476.3639764.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SOLIS, C.; WANG, X. A Study of the Characteristics of Behaviour Driven Development. In: EUROMICRO CONFERENCE ON SOFTWARE ENGINEERING AND ADVANCED APPLICATIONS (SEAA), 37., 2011. </w:t>
      </w:r>
      <w:r>
        <w:rPr>
          <w:rFonts w:ascii="Arial" w:hAnsi="Arial" w:eastAsia="Arial" w:cs="Arial"/>
          <w:b/>
          <w:sz w:val="24"/>
          <w:lang w:val="pt-BR"/>
        </w:rPr>
        <w:t>Anais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IEEE, 2011. p. 383-387. DOI: 10.1109/SEAA.2011.76.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WANG, J.; HUANG, Y.; CHEN, C.; LIU, Z.; WANG, S.; WANG, Q. Software Testing With Large Language Models: Survey, Landscape, and Vision. </w:t>
      </w:r>
      <w:r>
        <w:rPr>
          <w:rFonts w:ascii="Arial" w:hAnsi="Arial" w:eastAsia="Arial" w:cs="Arial"/>
          <w:b/>
          <w:sz w:val="24"/>
          <w:lang w:val="pt-BR"/>
        </w:rPr>
        <w:t>IEEE Transactions on Software Engineering</w:t>
      </w:r>
      <w:r>
        <w:rPr>
          <w:rFonts w:ascii="Arial" w:hAnsi="Arial" w:eastAsia="Arial" w:cs="Arial"/>
          <w:b w:val="0"/>
          <w:sz w:val="24"/>
          <w:lang w:val="pt-BR"/>
        </w:rPr>
        <w:t>, v. 50, n. 4, p. 911-936, 2024. DOI: 10.1109/TSE.2024.3368208.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WANG, X.; WEI, J.; SCHUURMANS, D.; LE, Q. V.; CHI, E. H.; NARANG, S.; CHOWDHERY, A.; ZHOU, D. Self-Consistency Improves Chain of Thought Reasoning in Language Models. In: INTERNATIONAL CONFERENCE ON LEARNING REPRESENTATIONS (ICLR), 11., 2023, Kigali.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OpenReview.net, 2023.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WYNNE, M.; HELLESOY, A. </w:t>
      </w:r>
      <w:r>
        <w:rPr>
          <w:rFonts w:ascii="Arial" w:hAnsi="Arial" w:eastAsia="Arial" w:cs="Arial"/>
          <w:b/>
          <w:sz w:val="24"/>
          <w:lang w:val="pt-BR"/>
        </w:rPr>
        <w:t>The Cucumber Book</w:t>
      </w:r>
      <w:r>
        <w:rPr>
          <w:rFonts w:ascii="Arial" w:hAnsi="Arial" w:eastAsia="Arial" w:cs="Arial"/>
          <w:b w:val="0"/>
          <w:sz w:val="24"/>
          <w:lang w:val="pt-BR"/>
        </w:rPr>
        <w:t>: Behaviour-Driven Development for Testers and Developers. Raleigh: Pragmatic Bookshelf, 2012.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YU, T.; ZHANG, R.; YANG, K.; YASUNAGA, M.; WANG, D.; LI, Z.; MA, J.; LI, I.; YAO, Q.; ROMAN, S.; ZHANG, Z.; RADEV, D. Spider: A Large-Scale Human-Labeled Dataset for Complex and Cross-Domain Semantic Parsing and Text-to-SQL Task. In: CONFERENCE ON EMPIRICAL METHODS IN NATURAL LANGUAGE PROCESSING (EMNLP), 2018, Bruxelas.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Association for Computational Linguistics, 2018. p. 3911-3921. DOI: 10.18653/v1/D18-1425.</w:t>
      </w:r>
    </w:p>
    <w:p>
      <w:pPr>
        <w:spacing w:line="240" w:lineRule="auto" w:before="0" w:after="200"/>
        <w:jc w:val="left"/>
      </w:pPr>
      <w:r>
        <w:rPr>
          <w:rFonts w:ascii="Arial" w:hAnsi="Arial" w:eastAsia="Arial" w:cs="Arial"/>
          <w:b w:val="0"/>
          <w:sz w:val="24"/>
          <w:lang w:val="pt-BR"/>
        </w:rPr>
        <w:t xml:space="preserve">ZHONG, R.; YU, T.; KLEIN, D. Semantic Evaluation for Text-to-SQL with Distilled Test Suites. In: CONFERENCE ON EMPIRICAL METHODS IN NATURAL LANGUAGE PROCESSING (EMNLP), 2020. </w:t>
      </w:r>
      <w:r>
        <w:rPr>
          <w:rFonts w:ascii="Arial" w:hAnsi="Arial" w:eastAsia="Arial" w:cs="Arial"/>
          <w:b/>
          <w:sz w:val="24"/>
          <w:lang w:val="pt-BR"/>
        </w:rPr>
        <w:t>Proceedings</w:t>
      </w:r>
      <w:r>
        <w:rPr>
          <w:rFonts w:ascii="Arial" w:hAnsi="Arial" w:eastAsia="Arial" w:cs="Arial"/>
          <w:b w:val="0"/>
          <w:sz w:val="24"/>
          <w:lang w:val="pt-BR"/>
        </w:rPr>
        <w:t xml:space="preserve"> [...]. Association for Computational Linguistics, 2020. p. 396-411. DOI: 10.18653/v1/2020.emnlp-main.29.</w:t>
      </w:r>
    </w:p>
    <w:p>
      <w:pPr>
        <w:keepNext/>
        <w:spacing w:line="360" w:lineRule="auto" w:before="240" w:after="80"/>
        <w:jc w:val="left"/>
      </w:pPr>
      <w:r>
        <w:rPr>
          <w:rFonts w:ascii="Arial" w:hAnsi="Arial" w:eastAsia="Arial" w:cs="Arial"/>
          <w:b/>
          <w:sz w:val="24"/>
          <w:lang w:val="pt-BR"/>
        </w:rPr>
        <w:t>Observações sobre esta entrega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1.</w:t>
        <w:tab/>
      </w:r>
      <w:r>
        <w:rPr>
          <w:rFonts w:ascii="Arial" w:hAnsi="Arial" w:eastAsia="Arial" w:cs="Arial"/>
          <w:b/>
          <w:sz w:val="24"/>
          <w:lang w:val="pt-BR"/>
        </w:rPr>
        <w:t>Correção em relação à E2.</w:t>
      </w:r>
      <w:r>
        <w:rPr>
          <w:rFonts w:ascii="Arial" w:hAnsi="Arial" w:eastAsia="Arial" w:cs="Arial"/>
          <w:b w:val="0"/>
          <w:sz w:val="24"/>
          <w:lang w:val="pt-BR"/>
        </w:rPr>
        <w:t xml:space="preserve"> O fichamento afirmava que Du et al. (2024) usam apenas instâncias de um mesmo modelo. Na releitura, o artigo traz também um experimento reduzido, com 20 problemas do GSM8K, que combina ChatGPT e Bard. O texto acima foi redigido de acordo; a lacuna continua existindo, mas foi enunciada com mais cuidado.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2.</w:t>
        <w:tab/>
      </w:r>
      <w:r>
        <w:rPr>
          <w:rFonts w:ascii="Arial" w:hAnsi="Arial" w:eastAsia="Arial" w:cs="Arial"/>
          <w:b/>
          <w:sz w:val="24"/>
          <w:lang w:val="pt-BR"/>
        </w:rPr>
        <w:t>Veículos confirmados.</w:t>
      </w:r>
      <w:r>
        <w:rPr>
          <w:rFonts w:ascii="Arial" w:hAnsi="Arial" w:eastAsia="Arial" w:cs="Arial"/>
          <w:b w:val="0"/>
          <w:sz w:val="24"/>
          <w:lang w:val="pt-BR"/>
        </w:rPr>
        <w:t xml:space="preserve"> Fonseca, Lima e Faria (2025) foi publicado no ASE 2025 e Ferreira et al. (2025) no AST 2025; as referências deixaram de apontar para os pré-prints. O DOI de Mendoza et al. (2024) é 10.5753/sbes.2024.3423. O arquivo .bib desta entrega já traz as três correções.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3.</w:t>
        <w:tab/>
      </w:r>
      <w:r>
        <w:rPr>
          <w:rFonts w:ascii="Arial" w:hAnsi="Arial" w:eastAsia="Arial" w:cs="Arial"/>
          <w:b/>
          <w:sz w:val="24"/>
          <w:lang w:val="pt-BR"/>
        </w:rPr>
        <w:t>Extensão.</w:t>
      </w:r>
      <w:r>
        <w:rPr>
          <w:rFonts w:ascii="Arial" w:hAnsi="Arial" w:eastAsia="Arial" w:cs="Arial"/>
          <w:b w:val="0"/>
          <w:sz w:val="24"/>
          <w:lang w:val="pt-BR"/>
        </w:rPr>
        <w:t xml:space="preserve"> O texto da Seção 2 soma cerca de 1.600 palavras, o equivalente a pouco mais de três páginas no formato institucional, sem contar o quadro. Na consolidação do artigo, a subseção 2.1 é a candidata natural a enxugamento.</w:t>
      </w:r>
    </w:p>
    <w:p>
      <w:pPr>
        <w:tabs>
          <w:tab w:pos="709" w:val="left"/>
        </w:tabs>
        <w:spacing w:line="360" w:lineRule="auto" w:before="0" w:after="60"/>
        <w:ind w:hanging="340" w:left="709"/>
        <w:jc w:val="both"/>
      </w:pPr>
      <w:r>
        <w:rPr>
          <w:rFonts w:ascii="Arial" w:hAnsi="Arial" w:eastAsia="Arial" w:cs="Arial"/>
          <w:sz w:val="24"/>
          <w:lang w:val="pt-BR"/>
        </w:rPr>
        <w:t>4.</w:t>
        <w:tab/>
      </w:r>
      <w:r>
        <w:rPr>
          <w:rFonts w:ascii="Arial" w:hAnsi="Arial" w:eastAsia="Arial" w:cs="Arial"/>
          <w:b/>
          <w:sz w:val="24"/>
          <w:lang w:val="pt-BR"/>
        </w:rPr>
        <w:t>Ajuste da proposta.</w:t>
      </w:r>
      <w:r>
        <w:rPr>
          <w:rFonts w:ascii="Arial" w:hAnsi="Arial" w:eastAsia="Arial" w:cs="Arial"/>
          <w:b w:val="0"/>
          <w:sz w:val="24"/>
          <w:lang w:val="pt-BR"/>
        </w:rPr>
        <w:t xml:space="preserve"> Os sete pontos da avaliação de 15/09 foram tratados nesta entrega, na E4 e na E5. O documento TCC1_AjustesProposta, enviado junto, lista cada ajuste, quem o pediu e onde foi atendido, e que entra como apêndice da versão final do TCC I. Nesta seção, o ajuste visível é a distinção entre valor apurado e valor validado (2.1), pedida por Rafael Rodrigues Barbosa.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sz w:val="20"/>
        <w:lang w:val="pt-BR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E3 — Fundamentação Teórica E Trabalhos Relacionados</dc:title>
  <dc:subject/>
  <dc:creator>Eduardo Krause</dc:creator>
  <cp:keywords/>
  <dc:description/>
  <cp:lastModifiedBy>Eduardo Krause</cp:lastModifiedBy>
  <cp:revision>1</cp:revision>
  <dcterms:created xsi:type="dcterms:W3CDTF">2013-12-23T23:15:00Z</dcterms:created>
  <dcterms:modified xsi:type="dcterms:W3CDTF">2013-12-23T23:15:00Z</dcterms:modified>
  <cp:category/>
</cp:coreProperties>
</file>