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80"/>
        <w:jc w:val="center"/>
      </w:pPr>
      <w:r>
        <w:rPr>
          <w:rFonts w:ascii="Arial" w:hAnsi="Arial" w:eastAsia="Arial" w:cs="Arial"/>
          <w:b/>
          <w:sz w:val="28"/>
          <w:lang w:val="pt-BR"/>
        </w:rPr>
        <w:t>E4 — ARQUITETURA, MODELAGEM E BACKLOG</w:t>
      </w:r>
    </w:p>
    <w:p>
      <w:pPr>
        <w:spacing w:line="240" w:lineRule="auto" w:before="0" w:after="40"/>
        <w:jc w:val="center"/>
      </w:pPr>
      <w:r>
        <w:rPr>
          <w:rFonts w:ascii="Arial" w:hAnsi="Arial" w:eastAsia="Arial" w:cs="Arial"/>
          <w:sz w:val="20"/>
          <w:lang w:val="pt-BR"/>
        </w:rPr>
        <w:t>Eduardo Krause (RA 12520157) — Análise e Desenvolvimento de Sistemas — UNIMATER</w:t>
      </w:r>
    </w:p>
    <w:p>
      <w:pPr>
        <w:spacing w:line="240" w:lineRule="auto" w:before="0" w:after="40"/>
        <w:jc w:val="center"/>
      </w:pPr>
      <w:r>
        <w:rPr>
          <w:rFonts w:ascii="Arial" w:hAnsi="Arial" w:eastAsia="Arial" w:cs="Arial"/>
          <w:sz w:val="20"/>
          <w:lang w:val="pt-BR"/>
        </w:rPr>
        <w:t>Orientador: Prof. Me. João Mazzochin — Entrega de 13/10/2026</w:t>
      </w:r>
    </w:p>
    <w:p>
      <w:pPr>
        <w:spacing w:after="80"/>
      </w:pP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Este documento leva a proposta do papel para o projeto executável: contexto em relação ao ERP, arquitetura, fluxo principal, dados enviados aos provedores de modelos, modelagem dos dados da plataforma, stack justificada e backlog priorizado com a fatia vertical marcada. As seções 1 e 4 atendem a pontos da avaliação da proposta. Os diagramas foram escritos em Mermaid e estão versionados no repositório do projeto, com os mesmos nomes de componentes usados aqui e no código. O conteúdo alimenta as subseções 3.1 a 3.3 do artigo.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1 Contexto: a plataforma e o ERP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sistema estudado é um ERP web, acessado pelo navegador, com banco de dados MySQL de cerca de 125 tabelas. A avaliação usa o ambiente de homologação, no qual os analistas executam os testes antes de cada entrega semanal. Por confidencialidade, o sistema não é identificado pelo nome.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Figura 1 mostra onde a plataforma se conecta. Ela não se integra à aplicação do ERP, nem à sua interface ou às suas regras de negócio: lê o banco de homologação em modo somente leitura, o requisito no Jira e a documentação no Confluence. Esse acoplamento restrito ao catálogo e aos dados é o que permite à plataforma operar sobre qualquer área funcional, como afirma a proposta, e a torna independente da tecnologia em que o ERP foi construído.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Figura 1 – </w:t>
      </w:r>
      <w:r>
        <w:rPr>
          <w:rFonts w:ascii="Arial" w:hAnsi="Arial" w:eastAsia="Arial" w:cs="Arial"/>
          <w:b w:val="0"/>
          <w:sz w:val="20"/>
          <w:lang w:val="pt-BR"/>
        </w:rPr>
        <w:t>Contexto da plataforma em relação ao ERP e aos serviços que consulta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4873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2 Arquitetura da solução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plataforma é um monólito modular empacotado em um único executável e executado localmente na rede interna, como definido na proposta. A escolha descarta deliberadamente uma arquitetura distribuída: trata-se de um projeto de uma pessoa, com prazo de um semestre, e a única exigência que pediria separação física, manter credenciais e banco fora do navegador, é atendida pela própria execução local. A Figura 2 apresenta os componentes e a forma como se comunicam.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Figura 2 – </w:t>
      </w:r>
      <w:r>
        <w:rPr>
          <w:rFonts w:ascii="Arial" w:hAnsi="Arial" w:eastAsia="Arial" w:cs="Arial"/>
          <w:b w:val="0"/>
          <w:sz w:val="20"/>
          <w:lang w:val="pt-BR"/>
        </w:rPr>
        <w:t>Arquitetura da plataforma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5932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3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A </w:t>
      </w:r>
      <w:r>
        <w:rPr>
          <w:rFonts w:ascii="Arial" w:hAnsi="Arial" w:eastAsia="Arial" w:cs="Arial"/>
          <w:b/>
          <w:sz w:val="24"/>
          <w:lang w:val="pt-BR"/>
        </w:rPr>
        <w:t>interface web</w:t>
      </w:r>
      <w:r>
        <w:rPr>
          <w:rFonts w:ascii="Arial" w:hAnsi="Arial" w:eastAsia="Arial" w:cs="Arial"/>
          <w:b w:val="0"/>
          <w:sz w:val="24"/>
          <w:lang w:val="pt-BR"/>
        </w:rPr>
        <w:t xml:space="preserve"> é o único ponto de contato do analista: recebe a chave da tarefa, apresenta os cenários com os valores apurados e as consultas que os originaram, e registra a decisão de conferência. Comunica-se com a camada de orquestração por REST/JSON, servida pelo mesmo processo.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Na </w:t>
      </w:r>
      <w:r>
        <w:rPr>
          <w:rFonts w:ascii="Arial" w:hAnsi="Arial" w:eastAsia="Arial" w:cs="Arial"/>
          <w:b/>
          <w:sz w:val="24"/>
          <w:lang w:val="pt-BR"/>
        </w:rPr>
        <w:t>camada de orquestração</w:t>
      </w:r>
      <w:r>
        <w:rPr>
          <w:rFonts w:ascii="Arial" w:hAnsi="Arial" w:eastAsia="Arial" w:cs="Arial"/>
          <w:b w:val="0"/>
          <w:sz w:val="24"/>
          <w:lang w:val="pt-BR"/>
        </w:rPr>
        <w:t xml:space="preserve">, o </w:t>
      </w:r>
      <w:r>
        <w:rPr>
          <w:rFonts w:ascii="Arial" w:hAnsi="Arial" w:eastAsia="Arial" w:cs="Arial"/>
          <w:b/>
          <w:sz w:val="24"/>
          <w:lang w:val="pt-BR"/>
        </w:rPr>
        <w:t>coletor de contexto</w:t>
      </w:r>
      <w:r>
        <w:rPr>
          <w:rFonts w:ascii="Arial" w:hAnsi="Arial" w:eastAsia="Arial" w:cs="Arial"/>
          <w:b w:val="0"/>
          <w:sz w:val="24"/>
          <w:lang w:val="pt-BR"/>
        </w:rPr>
        <w:t xml:space="preserve"> obtém o requisito no Jira e a documentação da rotina no Confluence, e entrega esse contexto aos dois módulos. O </w:t>
      </w:r>
      <w:r>
        <w:rPr>
          <w:rFonts w:ascii="Arial" w:hAnsi="Arial" w:eastAsia="Arial" w:cs="Arial"/>
          <w:b/>
          <w:sz w:val="24"/>
          <w:lang w:val="pt-BR"/>
        </w:rPr>
        <w:t>Módulo 1</w:t>
      </w:r>
      <w:r>
        <w:rPr>
          <w:rFonts w:ascii="Arial" w:hAnsi="Arial" w:eastAsia="Arial" w:cs="Arial"/>
          <w:b w:val="0"/>
          <w:sz w:val="24"/>
          <w:lang w:val="pt-BR"/>
        </w:rPr>
        <w:t xml:space="preserve"> redige os cenários e os submete ao validador Gherkin. O </w:t>
      </w:r>
      <w:r>
        <w:rPr>
          <w:rFonts w:ascii="Arial" w:hAnsi="Arial" w:eastAsia="Arial" w:cs="Arial"/>
          <w:b/>
          <w:sz w:val="24"/>
          <w:lang w:val="pt-BR"/>
        </w:rPr>
        <w:t>Módulo 2</w:t>
      </w:r>
      <w:r>
        <w:rPr>
          <w:rFonts w:ascii="Arial" w:hAnsi="Arial" w:eastAsia="Arial" w:cs="Arial"/>
          <w:b w:val="0"/>
          <w:sz w:val="24"/>
          <w:lang w:val="pt-BR"/>
        </w:rPr>
        <w:t xml:space="preserve"> é acionado apenas quando o requisito envolve relatório ou consulta e encadeia as etapas descritas na proposta, da classificação do requisito ao motor de consenso. Ambos os módulos acessam os modelos exclusivamente pelo </w:t>
      </w:r>
      <w:r>
        <w:rPr>
          <w:rFonts w:ascii="Arial" w:hAnsi="Arial" w:eastAsia="Arial" w:cs="Arial"/>
          <w:b/>
          <w:sz w:val="24"/>
          <w:lang w:val="pt-BR"/>
        </w:rPr>
        <w:t>gateway de modelos</w:t>
      </w:r>
      <w:r>
        <w:rPr>
          <w:rFonts w:ascii="Arial" w:hAnsi="Arial" w:eastAsia="Arial" w:cs="Arial"/>
          <w:b w:val="0"/>
          <w:sz w:val="24"/>
          <w:lang w:val="pt-BR"/>
        </w:rPr>
        <w:t xml:space="preserve">, que oferece uma interface única com um adaptador por provedor; com isso, trocar a versão ou o provedor de um modelo não altera os módulos, e tokens, custo e latência são registrados em um único ponto. O gateway abriga também o filtro de saída descrito na seção 4, de modo que nenhum conteúdo chega a um provedor sem passar por ele. O </w:t>
      </w:r>
      <w:r>
        <w:rPr>
          <w:rFonts w:ascii="Arial" w:hAnsi="Arial" w:eastAsia="Arial" w:cs="Arial"/>
          <w:b/>
          <w:sz w:val="24"/>
          <w:lang w:val="pt-BR"/>
        </w:rPr>
        <w:t>compositor de saída</w:t>
      </w:r>
      <w:r>
        <w:rPr>
          <w:rFonts w:ascii="Arial" w:hAnsi="Arial" w:eastAsia="Arial" w:cs="Arial"/>
          <w:b w:val="0"/>
          <w:sz w:val="24"/>
          <w:lang w:val="pt-BR"/>
        </w:rPr>
        <w:t xml:space="preserve"> reúne cenário, valores e consultas, e o </w:t>
      </w:r>
      <w:r>
        <w:rPr>
          <w:rFonts w:ascii="Arial" w:hAnsi="Arial" w:eastAsia="Arial" w:cs="Arial"/>
          <w:b/>
          <w:sz w:val="24"/>
          <w:lang w:val="pt-BR"/>
        </w:rPr>
        <w:t>registro de execuções</w:t>
      </w:r>
      <w:r>
        <w:rPr>
          <w:rFonts w:ascii="Arial" w:hAnsi="Arial" w:eastAsia="Arial" w:cs="Arial"/>
          <w:b w:val="0"/>
          <w:sz w:val="24"/>
          <w:lang w:val="pt-BR"/>
        </w:rPr>
        <w:t xml:space="preserve"> grava tudo na base local, que alimenta a auditoria e as métricas da avaliação.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base de homologação do ERP é acessada apenas pelo Módulo 2, com usuário de permissão exclusiva de leitura e limites de tempo e de linhas em toda consulta. A plataforma nunca escreve nessa base: seus próprios dados ficam na base local, separada.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3 Fluxo principal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Figura 3 mostra o caminho de uma tarefa da entrada à conferência, em três etapas. A etapa 2 só é percorrida quando o classificador conclui que o requisito exige apuração de valores no banco.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Figura 3 – </w:t>
      </w:r>
      <w:r>
        <w:rPr>
          <w:rFonts w:ascii="Arial" w:hAnsi="Arial" w:eastAsia="Arial" w:cs="Arial"/>
          <w:b w:val="0"/>
          <w:sz w:val="20"/>
          <w:lang w:val="pt-BR"/>
        </w:rPr>
        <w:t>Fluxo principal de uma tarefa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466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6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Cada candidato a consulta atravessa três camadas sucessivas: a análise sintática, que admite uma única instrução do tipo SELECT; o plano de execução, obtido por EXPLAIN; e a execução propriamente dita. Um candidato com erro ou com retorno vazio recebe uma nova tentativa, na qual a mensagem de erro é devolvida ao modelo; persistindo a falha, é descartado. Os candidatos válidos têm o conjunto de resultado normalizado segundo regras explícitas, para que diferenças de forma não sejam confundidas com diferenças de conteúdo: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nomes e ordem das colunas são desconsiderados, pois cada modelo escolhe seus próprios apelidos;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a ordem das linhas é desconsiderada, salvo quando o requisito especifica ordenação;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valores numéricos são arredondados à escala da coluna de origem ou, na ausência dela, a duas casas;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>nulos recebem marcador próprio, distinto de texto vazio, e datas são escritas no formato ISO 8601;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 w:val="0"/>
          <w:sz w:val="24"/>
          <w:lang w:val="pt-BR"/>
        </w:rPr>
        <w:t xml:space="preserve">o conjunto normalizado é resumido por um </w:t>
      </w:r>
      <w:r>
        <w:rPr>
          <w:rFonts w:ascii="Arial" w:hAnsi="Arial" w:eastAsia="Arial" w:cs="Arial"/>
          <w:b w:val="0"/>
          <w:i/>
          <w:sz w:val="24"/>
          <w:lang w:val="pt-BR"/>
        </w:rPr>
        <w:t>hash</w:t>
      </w:r>
      <w:r>
        <w:rPr>
          <w:rFonts w:ascii="Arial" w:hAnsi="Arial" w:eastAsia="Arial" w:cs="Arial"/>
          <w:b w:val="0"/>
          <w:sz w:val="24"/>
          <w:lang w:val="pt-BR"/>
        </w:rPr>
        <w:t xml:space="preserve">, e dois candidatos concordam quando os </w:t>
      </w:r>
      <w:r>
        <w:rPr>
          <w:rFonts w:ascii="Arial" w:hAnsi="Arial" w:eastAsia="Arial" w:cs="Arial"/>
          <w:b w:val="0"/>
          <w:i/>
          <w:sz w:val="24"/>
          <w:lang w:val="pt-BR"/>
        </w:rPr>
        <w:t>hashes</w:t>
      </w:r>
      <w:r>
        <w:rPr>
          <w:rFonts w:ascii="Arial" w:hAnsi="Arial" w:eastAsia="Arial" w:cs="Arial"/>
          <w:b w:val="0"/>
          <w:sz w:val="24"/>
          <w:lang w:val="pt-BR"/>
        </w:rPr>
        <w:t xml:space="preserve"> coincidem.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decisão de consenso classifica cada apuração em um de quatro desfechos, descritos no Quadro 1.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1 – </w:t>
      </w:r>
      <w:r>
        <w:rPr>
          <w:rFonts w:ascii="Arial" w:hAnsi="Arial" w:eastAsia="Arial" w:cs="Arial"/>
          <w:b w:val="0"/>
          <w:sz w:val="20"/>
          <w:lang w:val="pt-BR"/>
        </w:rPr>
        <w:t>Desfechos da decisão por consenso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Desfecho</w:t>
            </w:r>
          </w:p>
        </w:tc>
        <w:tc>
          <w:tcPr>
            <w:tcW w:type="dxa" w:w="3515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Condição</w:t>
            </w:r>
          </w:p>
        </w:tc>
        <w:tc>
          <w:tcPr>
            <w:tcW w:type="dxa" w:w="4365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Saída entregue ao analista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Unânime</w:t>
            </w:r>
          </w:p>
        </w:tc>
        <w:tc>
          <w:tcPr>
            <w:tcW w:type="dxa" w:w="351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Três candidatos válidos com o mesmo resultado</w:t>
            </w:r>
          </w:p>
        </w:tc>
        <w:tc>
          <w:tcPr>
            <w:tcW w:type="dxa" w:w="436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Valor de referência, com indicação de confiança alta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Maioria</w:t>
            </w:r>
          </w:p>
        </w:tc>
        <w:tc>
          <w:tcPr>
            <w:tcW w:type="dxa" w:w="351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Dois resultados coincidentes; o terceiro diverge ou foi descartado</w:t>
            </w:r>
          </w:p>
        </w:tc>
        <w:tc>
          <w:tcPr>
            <w:tcW w:type="dxa" w:w="436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Valor de referência, com indicação de confiança moderada e a consulta divergente exibida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Divergente</w:t>
            </w:r>
          </w:p>
        </w:tc>
        <w:tc>
          <w:tcPr>
            <w:tcW w:type="dxa" w:w="351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Dois ou mais candidatos válidos, sem resultados coincidentes</w:t>
            </w:r>
          </w:p>
        </w:tc>
        <w:tc>
          <w:tcPr>
            <w:tcW w:type="dxa" w:w="436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Nenhum valor de referência; as consultas são exibidas para apuração pelo analista</w:t>
            </w:r>
          </w:p>
        </w:tc>
      </w:tr>
      <w:tr>
        <w:tc>
          <w:tcPr>
            <w:tcW w:type="dxa" w:w="1474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Falha</w:t>
            </w:r>
          </w:p>
        </w:tc>
        <w:tc>
          <w:tcPr>
            <w:tcW w:type="dxa" w:w="3515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Menos de dois candidatos válidos após a nova tentativa</w:t>
            </w:r>
          </w:p>
        </w:tc>
        <w:tc>
          <w:tcPr>
            <w:tcW w:type="dxa" w:w="4365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Nenhum valor de referência; os erros de cada modelo são registrados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Em todos os desfechos a conferência humana é obrigatória. A plataforma entrega um valor </w:t>
      </w:r>
      <w:r>
        <w:rPr>
          <w:rFonts w:ascii="Arial" w:hAnsi="Arial" w:eastAsia="Arial" w:cs="Arial"/>
          <w:b/>
          <w:sz w:val="24"/>
          <w:lang w:val="pt-BR"/>
        </w:rPr>
        <w:t>apurado</w:t>
      </w:r>
      <w:r>
        <w:rPr>
          <w:rFonts w:ascii="Arial" w:hAnsi="Arial" w:eastAsia="Arial" w:cs="Arial"/>
          <w:b w:val="0"/>
          <w:sz w:val="24"/>
          <w:lang w:val="pt-BR"/>
        </w:rPr>
        <w:t xml:space="preserve">, obtido do banco, rastreável e reprodutível; ele só se torna </w:t>
      </w:r>
      <w:r>
        <w:rPr>
          <w:rFonts w:ascii="Arial" w:hAnsi="Arial" w:eastAsia="Arial" w:cs="Arial"/>
          <w:b/>
          <w:sz w:val="24"/>
          <w:lang w:val="pt-BR"/>
        </w:rPr>
        <w:t>validado</w:t>
      </w:r>
      <w:r>
        <w:rPr>
          <w:rFonts w:ascii="Arial" w:hAnsi="Arial" w:eastAsia="Arial" w:cs="Arial"/>
          <w:b w:val="0"/>
          <w:sz w:val="24"/>
          <w:lang w:val="pt-BR"/>
        </w:rPr>
        <w:t>, isto é, representativo da regra de negócio, depois da conferência do analista. O consenso não aprova o valor: indica o grau de confiança associado a ele, e a consulta anexada permite verificar sua origem sem reconstruí-la.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4 Dados enviados aos provedores e minimização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acesso ao banco é somente leitura, mas parte do conteúdo da empresa precisa sair dela para que os modelos funcionem. O Quadro 2 inventaria o que é enviado em cada etapa e a medida aplicada. O princípio é enviar o mínimo necessário à tarefa e nunca enviar resultados de consultas: a normalização e o consenso ocorrem inteiramente dentro da plataforma.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2 – </w:t>
      </w:r>
      <w:r>
        <w:rPr>
          <w:rFonts w:ascii="Arial" w:hAnsi="Arial" w:eastAsia="Arial" w:cs="Arial"/>
          <w:b w:val="0"/>
          <w:sz w:val="20"/>
          <w:lang w:val="pt-BR"/>
        </w:rPr>
        <w:t>Inventário do conteúdo enviado aos provedores de modelos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1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Etapa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O que é enviado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O que pode conter</w:t>
            </w:r>
          </w:p>
        </w:tc>
        <w:tc>
          <w:tcPr>
            <w:tcW w:type="dxa" w:w="2665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8"/>
                <w:lang w:val="pt-BR"/>
              </w:rPr>
              <w:t>Medida aplicada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Geração de cenários e classificação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Texto do requisito e da documentação da rotina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Nomes de clientes, documentos, e-mails ou telefones usados como exemplo; informação interna</w:t>
            </w:r>
          </w:p>
        </w:tc>
        <w:tc>
          <w:tcPr>
            <w:tcW w:type="dxa" w:w="266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Pseudonimização pelo filtro de saída; documentação restrita à página da rotina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Seleção de esquema e geração de SQL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Nomes de tabelas, colunas, tipos e chaves do subconjunto pertinente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Metadados confidenciais, sem dados pessoais</w:t>
            </w:r>
          </w:p>
        </w:tc>
        <w:tc>
          <w:tcPr>
            <w:tcW w:type="dxa" w:w="266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Envio apenas do subesquema; coberto pela autorização da empresa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Composição de amostra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Valores distintos de colunas de baixa cardinalidade e limites de datas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Dados reais da base</w:t>
            </w:r>
          </w:p>
        </w:tc>
        <w:tc>
          <w:tcPr>
            <w:tcW w:type="dxa" w:w="266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Somente colunas da lista de permitidas; texto livre nunca é amostrado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Nova tentativa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Consulta anterior e mensagem de erro do banco</w:t>
            </w:r>
          </w:p>
        </w:tc>
        <w:tc>
          <w:tcPr>
            <w:tcW w:type="dxa" w:w="243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Valores citados na mensagem de erro</w:t>
            </w:r>
          </w:p>
        </w:tc>
        <w:tc>
          <w:tcPr>
            <w:tcW w:type="dxa" w:w="266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Mensagem passa pelo filtro de saída</w:t>
            </w:r>
          </w:p>
        </w:tc>
      </w:tr>
      <w:tr>
        <w:tc>
          <w:tcPr>
            <w:tcW w:type="dxa" w:w="1814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Normalização e consenso</w:t>
            </w:r>
          </w:p>
        </w:tc>
        <w:tc>
          <w:tcPr>
            <w:tcW w:type="dxa" w:w="2438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Nada</w:t>
            </w:r>
          </w:p>
        </w:tc>
        <w:tc>
          <w:tcPr>
            <w:tcW w:type="dxa" w:w="2438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—</w:t>
            </w:r>
          </w:p>
        </w:tc>
        <w:tc>
          <w:tcPr>
            <w:tcW w:type="dxa" w:w="2665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8"/>
                <w:lang w:val="pt-BR"/>
              </w:rPr>
              <w:t>Resultados das consultas nunca saem da plataforma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As medidas combinam três técnicas, aplicadas em pontos definidos do fluxo: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lista de colunas permitidas</w:t>
      </w:r>
      <w:r>
        <w:rPr>
          <w:rFonts w:ascii="Arial" w:hAnsi="Arial" w:eastAsia="Arial" w:cs="Arial"/>
          <w:b w:val="0"/>
          <w:sz w:val="24"/>
          <w:lang w:val="pt-BR"/>
        </w:rPr>
        <w:t>, no amostrador: só são amostradas colunas explicitamente aprovadas, como situação, tipo de movimento e unidade, revisadas com o responsável pela base; uma coluna nova fica de fora até ser avaliada, o que é mais seguro do que uma lista de bloqueio;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pseudonimização</w:t>
      </w:r>
      <w:r>
        <w:rPr>
          <w:rFonts w:ascii="Arial" w:hAnsi="Arial" w:eastAsia="Arial" w:cs="Arial"/>
          <w:b w:val="0"/>
          <w:sz w:val="24"/>
          <w:lang w:val="pt-BR"/>
        </w:rPr>
        <w:t xml:space="preserve">, no filtro de saída do gateway: CPF, CNPJ, e-mail, telefone e nomes de pessoas cadastradas são substituídos por marcadores consistentes, como </w:t>
      </w:r>
      <w:r>
        <w:rPr>
          <w:rFonts w:ascii="Consolas" w:hAnsi="Consolas" w:eastAsia="Consolas" w:cs="Consolas"/>
          <w:sz w:val="22"/>
          <w:lang w:val="pt-BR"/>
        </w:rPr>
        <w:t>&lt;CPF_1&gt;</w:t>
      </w:r>
      <w:r>
        <w:rPr>
          <w:rFonts w:ascii="Arial" w:hAnsi="Arial" w:eastAsia="Arial" w:cs="Arial"/>
          <w:b w:val="0"/>
          <w:sz w:val="24"/>
          <w:lang w:val="pt-BR"/>
        </w:rPr>
        <w:t>, antes do envio, e a tabela de correspondência permanece apenas na base local;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–</w:t>
        <w:tab/>
      </w:r>
      <w:r>
        <w:rPr>
          <w:rFonts w:ascii="Arial" w:hAnsi="Arial" w:eastAsia="Arial" w:cs="Arial"/>
          <w:b/>
          <w:sz w:val="24"/>
          <w:lang w:val="pt-BR"/>
        </w:rPr>
        <w:t>supressão</w:t>
      </w:r>
      <w:r>
        <w:rPr>
          <w:rFonts w:ascii="Arial" w:hAnsi="Arial" w:eastAsia="Arial" w:cs="Arial"/>
          <w:b w:val="0"/>
          <w:sz w:val="24"/>
          <w:lang w:val="pt-BR"/>
        </w:rPr>
        <w:t>: resultados de consultas, valores fora da lista de permitidas e campos de texto livre nunca são enviados.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Cada envio é registrado na base local com o conteúdo efetivamente transmitido, o que permite auditar o que saiu da empresa. A configuração adotada em cada provedor, conferida nos termos vigentes em 12/10/2026, é declarada no Quadro 3.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3 – </w:t>
      </w:r>
      <w:r>
        <w:rPr>
          <w:rFonts w:ascii="Arial" w:hAnsi="Arial" w:eastAsia="Arial" w:cs="Arial"/>
          <w:b w:val="0"/>
          <w:sz w:val="20"/>
          <w:lang w:val="pt-BR"/>
        </w:rPr>
        <w:t>Configuração adotada em cada provedor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7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Provedor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Modalidade adotada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Uso dos dados para treinamento</w:t>
            </w:r>
          </w:p>
        </w:tc>
        <w:tc>
          <w:tcPr>
            <w:tcW w:type="dxa" w:w="2665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Retenção declarada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Anthropic (Claude)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API comercial, com chave da organização</w:t>
            </w:r>
          </w:p>
        </w:tc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Não usa entradas e saídas para treinar modelos, salvo permissão expressa</w:t>
            </w:r>
          </w:p>
        </w:tc>
        <w:tc>
          <w:tcPr>
            <w:tcW w:type="dxa" w:w="266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Exclusão automática em até 30 dias; até 2 anos em caso de violação da política de uso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Google (Gemini)</w:t>
            </w:r>
          </w:p>
        </w:tc>
        <w:tc>
          <w:tcPr>
            <w:tcW w:type="dxa" w:w="226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API em nível pago, com faturamento ativo; o nível gratuito não é usado</w:t>
            </w:r>
          </w:p>
        </w:tc>
        <w:tc>
          <w:tcPr>
            <w:tcW w:type="dxa" w:w="283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No nível pago, não usa as entradas e saídas para melhorar produtos; no gratuito, usa e admite revisão humana</w:t>
            </w:r>
          </w:p>
        </w:tc>
        <w:tc>
          <w:tcPr>
            <w:tcW w:type="dxa" w:w="266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Registro por período limitado, apenas para detectar abuso; registro opcional de chamadas mantido desativado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Groq (Llama)</w:t>
            </w:r>
          </w:p>
        </w:tc>
        <w:tc>
          <w:tcPr>
            <w:tcW w:type="dxa" w:w="2268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API do GroqCloud, com retenção zero ativada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Vedado pelo contrato, salvo permissão do cliente</w:t>
            </w:r>
          </w:p>
        </w:tc>
        <w:tc>
          <w:tcPr>
            <w:tcW w:type="dxa" w:w="2665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Nenhuma com retenção zero; sem ela, até 30 dias para confiabilidade e abuso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com base em Anthropic (2026), Google (2026) e Groq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Duas decisões decorrem do quadro. O nível gratuito do Gemini fica vedado, porque nele o conteúdo pode ser lido por revisores humanos e usado para melhorar produtos; e a retenção zero é ativada no Groq, único provedor que a oferece ao próprio cliente. Nos demais casos, a retenção de até 30 dias recai sobre conteúdo já minimizado e pseudonimizado.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empresa autorizou o uso do ambiente de homologação, das tarefas e da documentação, com a condição de que nenhuma informação sensível seja exposta. As medidas desta seção são a forma de cumprir essa condição.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5 Modelagem de dados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esquema do ERP, com cerca de 125 tabelas, é apenas lido e não faz parte da modelagem. O que se modela são os dados da própria plataforma, restritos ao necessário para auditar cada execução e calcular as métricas da avaliação. A Figura 4 apresenta as seis entidades.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Figura 4 – </w:t>
      </w:r>
      <w:r>
        <w:rPr>
          <w:rFonts w:ascii="Arial" w:hAnsi="Arial" w:eastAsia="Arial" w:cs="Arial"/>
          <w:b w:val="0"/>
          <w:sz w:val="20"/>
          <w:lang w:val="pt-BR"/>
        </w:rPr>
        <w:t>Modelo entidade-relacionamento da base local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7086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08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4 – </w:t>
      </w:r>
      <w:r>
        <w:rPr>
          <w:rFonts w:ascii="Arial" w:hAnsi="Arial" w:eastAsia="Arial" w:cs="Arial"/>
          <w:b w:val="0"/>
          <w:sz w:val="20"/>
          <w:lang w:val="pt-BR"/>
        </w:rPr>
        <w:t>Entidades da base local e métricas que alimentam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1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Entidade</w:t>
            </w:r>
          </w:p>
        </w:tc>
        <w:tc>
          <w:tcPr>
            <w:tcW w:type="dxa" w:w="4535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Papel</w:t>
            </w:r>
          </w:p>
        </w:tc>
        <w:tc>
          <w:tcPr>
            <w:tcW w:type="dxa" w:w="3118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Métricas que alimenta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TAREFA</w:t>
            </w:r>
          </w:p>
        </w:tc>
        <w:tc>
          <w:tcPr>
            <w:tcW w:type="dxa" w:w="453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Retrato do requisito e da referência à documentação no momento da coleta</w:t>
            </w:r>
          </w:p>
        </w:tc>
        <w:tc>
          <w:tcPr>
            <w:tcW w:type="dxa" w:w="311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Identificação do conjunto de avaliação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EXECUCAO</w:t>
            </w:r>
          </w:p>
        </w:tc>
        <w:tc>
          <w:tcPr>
            <w:tcW w:type="dxa" w:w="453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Uma passagem da plataforma sobre uma tarefa, com versão do prompt, tempo e custo totais</w:t>
            </w:r>
          </w:p>
        </w:tc>
        <w:tc>
          <w:tcPr>
            <w:tcW w:type="dxa" w:w="311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Custo e tempo por tarefa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CENARIO</w:t>
            </w:r>
          </w:p>
        </w:tc>
        <w:tc>
          <w:tcPr>
            <w:tcW w:type="dxa" w:w="453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Cada cenário gerado, marcado como de alteração ou de regressão</w:t>
            </w:r>
          </w:p>
        </w:tc>
        <w:tc>
          <w:tcPr>
            <w:tcW w:type="dxa" w:w="311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Cobertura e completude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APURACAO</w:t>
            </w:r>
          </w:p>
        </w:tc>
        <w:tc>
          <w:tcPr>
            <w:tcW w:type="dxa" w:w="453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Cada valor a apurar, com o subesquema usado, o desfecho e o resultado de referência</w:t>
            </w:r>
          </w:p>
        </w:tc>
        <w:tc>
          <w:tcPr>
            <w:tcW w:type="dxa" w:w="311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Concordância, acurácia, falso acordo e divergência</w:t>
            </w:r>
          </w:p>
        </w:tc>
      </w:tr>
      <w:tr>
        <w:tc>
          <w:tcPr>
            <w:tcW w:type="dxa" w:w="170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CANDIDATO_SQL</w:t>
            </w:r>
          </w:p>
        </w:tc>
        <w:tc>
          <w:tcPr>
            <w:tcW w:type="dxa" w:w="4535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 xml:space="preserve">Cada consulta gerada por um modelo, com a verificação, o </w:t>
            </w:r>
            <w:r>
              <w:rPr>
                <w:rFonts w:ascii="Arial" w:hAnsi="Arial" w:eastAsia="Arial" w:cs="Arial"/>
                <w:b w:val="0"/>
                <w:i/>
                <w:sz w:val="19"/>
                <w:lang w:val="pt-BR"/>
              </w:rPr>
              <w:t>hash</w:t>
            </w: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 xml:space="preserve"> do resultado, os tokens e a latência</w:t>
            </w:r>
          </w:p>
        </w:tc>
        <w:tc>
          <w:tcPr>
            <w:tcW w:type="dxa" w:w="3118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Acurácia por modelo, custo e tempo por consulta</w:t>
            </w:r>
          </w:p>
        </w:tc>
      </w:tr>
      <w:tr>
        <w:tc>
          <w:tcPr>
            <w:tcW w:type="dxa" w:w="1701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REVISAO</w:t>
            </w:r>
          </w:p>
        </w:tc>
        <w:tc>
          <w:tcPr>
            <w:tcW w:type="dxa" w:w="4535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 conferência do analista: decisão, valores alterados e tempo gasto</w:t>
            </w:r>
          </w:p>
        </w:tc>
        <w:tc>
          <w:tcPr>
            <w:tcW w:type="dxa" w:w="3118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Aceitação e proporção de valores alterados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A coluna </w:t>
      </w:r>
      <w:r>
        <w:rPr>
          <w:rFonts w:ascii="Consolas" w:hAnsi="Consolas" w:eastAsia="Consolas" w:cs="Consolas"/>
          <w:sz w:val="22"/>
          <w:lang w:val="pt-BR"/>
        </w:rPr>
        <w:t>hash_documentacao</w:t>
      </w:r>
      <w:r>
        <w:rPr>
          <w:rFonts w:ascii="Arial" w:hAnsi="Arial" w:eastAsia="Arial" w:cs="Arial"/>
          <w:b w:val="0"/>
          <w:sz w:val="24"/>
          <w:lang w:val="pt-BR"/>
        </w:rPr>
        <w:t xml:space="preserve"> em TAREFA registra qual versão da documentação foi usada, já que as páginas do Confluence mudam com o tempo; sem ela, um experimento não poderia ser repetido com a mesma entrada.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6 Stack definida e justificada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5 – </w:t>
      </w:r>
      <w:r>
        <w:rPr>
          <w:rFonts w:ascii="Arial" w:hAnsi="Arial" w:eastAsia="Arial" w:cs="Arial"/>
          <w:b w:val="0"/>
          <w:sz w:val="20"/>
          <w:lang w:val="pt-BR"/>
        </w:rPr>
        <w:t>Stack da plataforma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041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Tecnologia</w:t>
            </w:r>
          </w:p>
        </w:tc>
        <w:tc>
          <w:tcPr>
            <w:tcW w:type="dxa" w:w="7313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9"/>
                <w:lang w:val="pt-BR"/>
              </w:rPr>
              <w:t>Função e justificativa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Java 21 e Spring Boot 3</w:t>
            </w:r>
          </w:p>
        </w:tc>
        <w:tc>
          <w:tcPr>
            <w:tcW w:type="dxa" w:w="731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Camada de orquestração. Acesso maduro a bancos relacionais por JDBC, execução concorrente das três chamadas aos modelos e empacotamento em um único JAR executável. Java 21 é a versão de suporte estendido corrente.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Spring AI</w:t>
            </w:r>
          </w:p>
        </w:tc>
        <w:tc>
          <w:tcPr>
            <w:tcW w:type="dxa" w:w="731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Cliente dos modelos. Oferece abstração comum para Anthropic, Google e provedores compatíveis com a interface da OpenAI, caso da Groq, o que reduz cada adaptador do gateway a configuração. Se alguma limitação surgir, o adaptador afetado passa a usar o cliente HTTP do próprio provedor, sem impacto nos módulos.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React com TypeScript e Vite</w:t>
            </w:r>
          </w:p>
        </w:tc>
        <w:tc>
          <w:tcPr>
            <w:tcW w:type="dxa" w:w="731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 xml:space="preserve">Interface. O resultado do </w:t>
            </w:r>
            <w:r>
              <w:rPr>
                <w:rFonts w:ascii="Arial" w:hAnsi="Arial" w:eastAsia="Arial" w:cs="Arial"/>
                <w:b w:val="0"/>
                <w:i/>
                <w:sz w:val="19"/>
                <w:lang w:val="pt-BR"/>
              </w:rPr>
              <w:t>build</w:t>
            </w: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 xml:space="preserve"> é copiado para os recursos estáticos do Spring Boot e servido pelo mesmo processo, preservando o artefato único.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H2 em arquivo</w:t>
            </w:r>
          </w:p>
        </w:tc>
        <w:tc>
          <w:tcPr>
            <w:tcW w:type="dxa" w:w="731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Base local da plataforma. Não exige servidor, roda dentro do processo e mantém os dados da plataforma fisicamente separados da base do ERP.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MySQL Connector/J</w:t>
            </w:r>
          </w:p>
        </w:tc>
        <w:tc>
          <w:tcPr>
            <w:tcW w:type="dxa" w:w="731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 xml:space="preserve">Acesso à homologação com usuário somente leitura. O limite de tempo é aplicado pela dica </w:t>
            </w:r>
            <w:r>
              <w:rPr>
                <w:rFonts w:ascii="Consolas" w:hAnsi="Consolas" w:eastAsia="Consolas" w:cs="Consolas"/>
                <w:sz w:val="17"/>
                <w:lang w:val="pt-BR"/>
              </w:rPr>
              <w:t>MAX_EXECUTION_TIME</w:t>
            </w: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 xml:space="preserve"> e o de linhas pelo próprio </w:t>
            </w:r>
            <w:r>
              <w:rPr>
                <w:rFonts w:ascii="Arial" w:hAnsi="Arial" w:eastAsia="Arial" w:cs="Arial"/>
                <w:b w:val="0"/>
                <w:i/>
                <w:sz w:val="19"/>
                <w:lang w:val="pt-BR"/>
              </w:rPr>
              <w:t>driver</w:t>
            </w: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JSqlParser</w:t>
            </w:r>
          </w:p>
        </w:tc>
        <w:tc>
          <w:tcPr>
            <w:tcW w:type="dxa" w:w="731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Primeira camada do verificador. Rejeita qualquer texto que não seja uma única instrução SELECT, inclusive múltiplas instruções e cláusulas de bloqueio, antes que a consulta chegue ao banco.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Analisador Gherkin do Cucumber</w:t>
            </w:r>
          </w:p>
        </w:tc>
        <w:tc>
          <w:tcPr>
            <w:tcW w:type="dxa" w:w="731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Validador do Módulo 1. É o mesmo analisador usado pelas ferramentas de BDD, o que torna a métrica de validade sintática comparável à reportada na literatura.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APIs REST do Jira e do Confluence</w:t>
            </w:r>
          </w:p>
        </w:tc>
        <w:tc>
          <w:tcPr>
            <w:tcW w:type="dxa" w:w="731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 xml:space="preserve">Coleta de contexto, com </w:t>
            </w:r>
            <w:r>
              <w:rPr>
                <w:rFonts w:ascii="Arial" w:hAnsi="Arial" w:eastAsia="Arial" w:cs="Arial"/>
                <w:b w:val="0"/>
                <w:i/>
                <w:sz w:val="19"/>
                <w:lang w:val="pt-BR"/>
              </w:rPr>
              <w:t>token</w:t>
            </w: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 xml:space="preserve"> de acesso do autor e apenas operações de leitura no MVP.</w:t>
            </w:r>
          </w:p>
        </w:tc>
      </w:tr>
      <w:tr>
        <w:tc>
          <w:tcPr>
            <w:tcW w:type="dxa" w:w="2041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Git, GitHub e Mermaid</w:t>
            </w:r>
          </w:p>
        </w:tc>
        <w:tc>
          <w:tcPr>
            <w:tcW w:type="dxa" w:w="7313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9"/>
                <w:lang w:val="pt-BR"/>
              </w:rPr>
              <w:t>Versionamento do código e dos diagramas como texto. Os diagramas deste documento são gerados a partir dos arquivos .mmd do repositório.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As versões exatas dos três modelos serão fixadas antes dos experimentos e registradas em cada execução, na coluna </w:t>
      </w:r>
      <w:r>
        <w:rPr>
          <w:rFonts w:ascii="Consolas" w:hAnsi="Consolas" w:eastAsia="Consolas" w:cs="Consolas"/>
          <w:sz w:val="22"/>
          <w:lang w:val="pt-BR"/>
        </w:rPr>
        <w:t>modelo</w:t>
      </w:r>
      <w:r>
        <w:rPr>
          <w:rFonts w:ascii="Arial" w:hAnsi="Arial" w:eastAsia="Arial" w:cs="Arial"/>
          <w:b w:val="0"/>
          <w:sz w:val="24"/>
          <w:lang w:val="pt-BR"/>
        </w:rPr>
        <w:t xml:space="preserve"> de CANDIDATO_SQL, para que mudanças de versão pelo provedor não contaminem a comparação.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7 Backlog priorizado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O Quadro 6 lista os itens em ordem de prioridade. Nenhum item passa de oito horas, e cada um está associado ao marco em que deve estar pronto. Os itens da fatia vertical estão marcados com </w:t>
      </w:r>
      <w:r>
        <w:rPr>
          <w:rFonts w:ascii="Arial" w:hAnsi="Arial" w:eastAsia="Arial" w:cs="Arial"/>
          <w:b/>
          <w:sz w:val="24"/>
          <w:lang w:val="pt-BR"/>
        </w:rPr>
        <w:t>●</w:t>
      </w:r>
      <w:r>
        <w:rPr>
          <w:rFonts w:ascii="Arial" w:hAnsi="Arial" w:eastAsia="Arial" w:cs="Arial"/>
          <w:b w:val="0"/>
          <w:sz w:val="24"/>
          <w:lang w:val="pt-BR"/>
        </w:rPr>
        <w:t>. O MVP soma 125 horas e os itens desejáveis, 22 horas.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6 – </w:t>
      </w:r>
      <w:r>
        <w:rPr>
          <w:rFonts w:ascii="Arial" w:hAnsi="Arial" w:eastAsia="Arial" w:cs="Arial"/>
          <w:b w:val="0"/>
          <w:sz w:val="20"/>
          <w:lang w:val="pt-BR"/>
        </w:rPr>
        <w:t>Backlog priorizado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62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ID</w:t>
            </w:r>
          </w:p>
        </w:tc>
        <w:tc>
          <w:tcPr>
            <w:tcW w:type="dxa" w:w="5443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Item</w:t>
            </w:r>
          </w:p>
        </w:tc>
        <w:tc>
          <w:tcPr>
            <w:tcW w:type="dxa" w:w="510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h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Prioridade</w:t>
            </w:r>
          </w:p>
        </w:tc>
        <w:tc>
          <w:tcPr>
            <w:tcW w:type="dxa" w:w="96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Marco</w:t>
            </w:r>
          </w:p>
        </w:tc>
        <w:tc>
          <w:tcPr>
            <w:tcW w:type="dxa" w:w="567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FV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B01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Esqueleto Spring Boot + React no mesmo build, gerando um único executável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B02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Configuração de credenciais por variáveis de ambiente e perfil local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B03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Base local H2 com migração das seis tabelas da plataforma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B04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Cliente do Jira: obter o requisito pela chave da tarefa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B05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Gateway de modelos com adaptador do Claude e registro de tokens, custo e latência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B06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Conexão MySQL somente leitura com limite de tempo e de linhas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B07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Verificador, camada 1: análise sintática que admite apenas SELECT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B08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Geração de cenário Gherkin a partir do requisito (um modelo)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B09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Geração de SQL por um modelo, com o esquema da área informado integralmente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B10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Compositor: cenário com valor preenchido e consulta anexada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B11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Tela: informar a tarefa e visualizar o resultado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E6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B12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Adaptadores do Gemini e do Llama (Groq) no gateway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E7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B13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Geração paralela pelos três modelos e nova tentativa com a mensagem de erro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E7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B14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Verificador, camadas 2 e 3: EXPLAIN e execução; descarte de erro e de vazio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E7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B15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Normalizador: ordenação, arredondamento, nulos e datas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E7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B16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Motor de consenso e classificação do desfecho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E7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B17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Extração do esquema pelo INFORMATION_SCHEMA e grafo de chaves estrangeiras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E7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B18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Amostrador de valores restrito à lista de colunas permitidas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5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E7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B19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Filtro de saída no gateway: pseudonimização de dados pessoais no requisito, na documentação e nas mensagens de erro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5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E7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B20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Cliente do Confluence: obter a página da rotina e convertê-la em texto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E8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B21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Documentação funcional no prompt, com cenários de regressão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E8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B22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Validação com o analisador Gherkin e uma regeneração em caso de erro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E8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B23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Classificador: o requisito exige apuração de valores?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E8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B24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Restrições de domínio obrigatórias no prompt (empresa, filial, cancelados, exclusão lógica)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E8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B25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Seleção do subesquema por similaridade de termos e expansão pelos relacionamentos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8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TCC II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B26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Tela de revisão: aceitar, aceitar com alteração ou rejeitar, com registro de tempo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TCC II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B27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Exibição do desfecho e da consulta de cada modelo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TCC II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B28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Execução em lote sobre o conjunto de referência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TCC II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B29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Exportação das métricas em CSV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MVP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TCC II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B30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Registro dos cenários aprovados de volta na tarefa do Jira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Desejável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—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B31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Cache do esquema e das amostras entre execuções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Desejável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—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B32</w:t>
            </w:r>
          </w:p>
        </w:tc>
        <w:tc>
          <w:tcPr>
            <w:tcW w:type="dxa" w:w="544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Painel de custos por provedor</w:t>
            </w:r>
          </w:p>
        </w:tc>
        <w:tc>
          <w:tcPr>
            <w:tcW w:type="dxa" w:w="510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4</w:t>
            </w:r>
          </w:p>
        </w:tc>
        <w:tc>
          <w:tcPr>
            <w:tcW w:type="dxa" w:w="113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Desejável</w:t>
            </w:r>
          </w:p>
        </w:tc>
        <w:tc>
          <w:tcPr>
            <w:tcW w:type="dxa" w:w="964"/>
          </w:tcPr>
          <w:p>
            <w:pPr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—</w:t>
            </w:r>
          </w:p>
        </w:tc>
        <w:tc>
          <w:tcPr>
            <w:tcW w:type="dxa" w:w="567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624"/>
          </w:tcPr>
          <w:p>
            <w:pPr>
              <w:keepNext/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B33</w:t>
            </w:r>
          </w:p>
        </w:tc>
        <w:tc>
          <w:tcPr>
            <w:tcW w:type="dxa" w:w="5443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Incorporação das alterações de código vinculadas à tarefa</w:t>
            </w:r>
          </w:p>
        </w:tc>
        <w:tc>
          <w:tcPr>
            <w:tcW w:type="dxa" w:w="510"/>
          </w:tcPr>
          <w:p>
            <w:pPr>
              <w:keepNext/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8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Desejável</w:t>
            </w:r>
          </w:p>
        </w:tc>
        <w:tc>
          <w:tcPr>
            <w:tcW w:type="dxa" w:w="964"/>
          </w:tcPr>
          <w:p>
            <w:pPr>
              <w:keepNext/>
              <w:spacing w:line="240" w:lineRule="auto" w:before="0" w:after="0"/>
              <w:jc w:val="center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Futuro</w:t>
            </w:r>
          </w:p>
        </w:tc>
        <w:tc>
          <w:tcPr>
            <w:tcW w:type="dxa" w:w="567"/>
          </w:tcPr>
          <w:p>
            <w:pPr>
              <w:keepNext/>
              <w:spacing w:line="240" w:lineRule="auto" w:before="0" w:after="0"/>
              <w:jc w:val="center"/>
            </w:pP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7.1 Fatia vertical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fatia vertical, itens B01 a B11, é o menor caminho que atravessa todas as camadas e prova a ideia central: o analista informa a chave de uma tarefa de relatório; a plataforma lê o requisito no Jira, gera o cenário e a consulta com um único modelo, recebendo o esquema da área integralmente, aceita apenas SELECT, executa a consulta em modo somente leitura e devolve o cenário com o valor preenchido e a consulta anexada, gravando a execução na base local. Soma 34 horas e é o conteúdo da E6. O consenso entre os três modelos, que é o diferencial do trabalho, entra logo em seguida, na E7, sobre essa mesma fatia.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7.2 Capacidade e risco de prazo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Até a banca de validação, os marcos E6, E7 e E8 somam 98 horas de implementação (34, 40 e 24 horas, respectivamente), acima das cerca de 74 horas previstas no cronograma das entregas para o mesmo período. A ordem do backlog foi construída para que o excesso recaia sobre o final: se for preciso cortar, a banca recebe a fatia vertical com consenso funcionando e o Módulo 1 sem a documentação funcional, e os itens restantes passam ao início do TCC II, junto das 27 horas já previstos ali para preparar o experimento. A seleção do subesquema (B25) foi deixada para o TCC II porque a fatia funciona enviando o esquema inteiro da área, o que a proposta admite como viável; o custo dessa simplificação será medido.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8 Repositório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O repositório foi criado com README descrevendo o projeto, os diagramas em Mermaid e o backlog em Markdown, gerado da mesma fonte que o Quadro 6. Ainda não há código: o primeiro </w:t>
      </w:r>
      <w:r>
        <w:rPr>
          <w:rFonts w:ascii="Arial" w:hAnsi="Arial" w:eastAsia="Arial" w:cs="Arial"/>
          <w:b w:val="0"/>
          <w:i/>
          <w:sz w:val="24"/>
          <w:lang w:val="pt-BR"/>
        </w:rPr>
        <w:t>commit</w:t>
      </w:r>
      <w:r>
        <w:rPr>
          <w:rFonts w:ascii="Arial" w:hAnsi="Arial" w:eastAsia="Arial" w:cs="Arial"/>
          <w:b w:val="0"/>
          <w:sz w:val="24"/>
          <w:lang w:val="pt-BR"/>
        </w:rPr>
        <w:t xml:space="preserve"> de implementação será o esqueleto do item B01.</w:t>
      </w:r>
    </w:p>
    <w:p>
      <w:pPr>
        <w:spacing w:line="240" w:lineRule="auto" w:before="0" w:after="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>PlataformaTestes/</w:t>
      </w:r>
    </w:p>
    <w:p>
      <w:pPr>
        <w:spacing w:line="240" w:lineRule="auto" w:before="0" w:after="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>├── README.md</w:t>
      </w:r>
    </w:p>
    <w:p>
      <w:pPr>
        <w:spacing w:line="240" w:lineRule="auto" w:before="0" w:after="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>├── .gitignore</w:t>
      </w:r>
    </w:p>
    <w:p>
      <w:pPr>
        <w:spacing w:line="240" w:lineRule="auto" w:before="0" w:after="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>└── docs/</w:t>
      </w:r>
    </w:p>
    <w:p>
      <w:pPr>
        <w:spacing w:line="240" w:lineRule="auto" w:before="0" w:after="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 xml:space="preserve">    ├── backlog.md</w:t>
      </w:r>
    </w:p>
    <w:p>
      <w:pPr>
        <w:spacing w:line="240" w:lineRule="auto" w:before="0" w:after="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 xml:space="preserve">    └── diagramas/</w:t>
      </w:r>
    </w:p>
    <w:p>
      <w:pPr>
        <w:spacing w:line="240" w:lineRule="auto" w:before="0" w:after="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 xml:space="preserve">        ├── contexto.mmd      contexto.svg      contexto.png</w:t>
      </w:r>
    </w:p>
    <w:p>
      <w:pPr>
        <w:spacing w:line="240" w:lineRule="auto" w:before="0" w:after="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 xml:space="preserve">        ├── arquitetura.mmd   arquitetura.svg   arquitetura.png</w:t>
      </w:r>
    </w:p>
    <w:p>
      <w:pPr>
        <w:spacing w:line="240" w:lineRule="auto" w:before="0" w:after="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 xml:space="preserve">        ├── fluxo.mmd         fluxo.svg         fluxo.png</w:t>
      </w:r>
    </w:p>
    <w:p>
      <w:pPr>
        <w:spacing w:line="240" w:lineRule="auto" w:before="0" w:after="160"/>
        <w:ind w:left="567"/>
        <w:jc w:val="left"/>
      </w:pPr>
      <w:r>
        <w:rPr>
          <w:rFonts w:ascii="Consolas" w:hAnsi="Consolas" w:eastAsia="Consolas" w:cs="Consolas"/>
          <w:sz w:val="19"/>
          <w:lang w:val="pt-BR"/>
        </w:rPr>
        <w:t xml:space="preserve">        └── der.mmd           der.svg           der.png</w:t>
      </w: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Endereço: https://github.com/edukrause/PlataformaTestes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Referências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ANTHROPIC. </w:t>
      </w:r>
      <w:r>
        <w:rPr>
          <w:rFonts w:ascii="Arial" w:hAnsi="Arial" w:eastAsia="Arial" w:cs="Arial"/>
          <w:b/>
          <w:sz w:val="24"/>
          <w:lang w:val="pt-BR"/>
        </w:rPr>
        <w:t>How long do you store my organization's data?</w:t>
      </w:r>
      <w:r>
        <w:rPr>
          <w:rFonts w:ascii="Arial" w:hAnsi="Arial" w:eastAsia="Arial" w:cs="Arial"/>
          <w:b w:val="0"/>
          <w:sz w:val="24"/>
          <w:lang w:val="pt-BR"/>
        </w:rPr>
        <w:t xml:space="preserve"> 2026. Disponível em: https://privacy.claude.com/en/articles/7996866-how-long-do-you-store-my-organization-s-data. Acesso em: 12 out. 2026.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ANTHROPIC. </w:t>
      </w:r>
      <w:r>
        <w:rPr>
          <w:rFonts w:ascii="Arial" w:hAnsi="Arial" w:eastAsia="Arial" w:cs="Arial"/>
          <w:b/>
          <w:sz w:val="24"/>
          <w:lang w:val="pt-BR"/>
        </w:rPr>
        <w:t>Is my data used for model training?</w:t>
      </w:r>
      <w:r>
        <w:rPr>
          <w:rFonts w:ascii="Arial" w:hAnsi="Arial" w:eastAsia="Arial" w:cs="Arial"/>
          <w:b w:val="0"/>
          <w:sz w:val="24"/>
          <w:lang w:val="pt-BR"/>
        </w:rPr>
        <w:t xml:space="preserve"> 2026. Disponível em: https://privacy.claude.com/en/articles/7996868-is-my-data-used-for-model-training. Acesso em: 12 out. 2026.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GOOGLE. </w:t>
      </w:r>
      <w:r>
        <w:rPr>
          <w:rFonts w:ascii="Arial" w:hAnsi="Arial" w:eastAsia="Arial" w:cs="Arial"/>
          <w:b/>
          <w:sz w:val="24"/>
          <w:lang w:val="pt-BR"/>
        </w:rPr>
        <w:t>Gemini API Additional Terms of Service</w:t>
      </w:r>
      <w:r>
        <w:rPr>
          <w:rFonts w:ascii="Arial" w:hAnsi="Arial" w:eastAsia="Arial" w:cs="Arial"/>
          <w:b w:val="0"/>
          <w:sz w:val="24"/>
          <w:lang w:val="pt-BR"/>
        </w:rPr>
        <w:t>. 2026. Disponível em: https://ai.google.dev/gemini-api/terms. Acesso em: 12 out. 2026.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GROQ. </w:t>
      </w:r>
      <w:r>
        <w:rPr>
          <w:rFonts w:ascii="Arial" w:hAnsi="Arial" w:eastAsia="Arial" w:cs="Arial"/>
          <w:b/>
          <w:sz w:val="24"/>
          <w:lang w:val="pt-BR"/>
        </w:rPr>
        <w:t>Your Data in GroqCloud</w:t>
      </w:r>
      <w:r>
        <w:rPr>
          <w:rFonts w:ascii="Arial" w:hAnsi="Arial" w:eastAsia="Arial" w:cs="Arial"/>
          <w:b w:val="0"/>
          <w:sz w:val="24"/>
          <w:lang w:val="pt-BR"/>
        </w:rPr>
        <w:t>. 2026. Disponível em: https://console.groq.com/docs/your-data. Acesso em: 12 out. 2026.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Observações sobre esta entrega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1.</w:t>
        <w:tab/>
      </w:r>
      <w:r>
        <w:rPr>
          <w:rFonts w:ascii="Arial" w:hAnsi="Arial" w:eastAsia="Arial" w:cs="Arial"/>
          <w:b/>
          <w:sz w:val="24"/>
          <w:lang w:val="pt-BR"/>
        </w:rPr>
        <w:t>Ajustes da avaliação da proposta.</w:t>
      </w:r>
      <w:r>
        <w:rPr>
          <w:rFonts w:ascii="Arial" w:hAnsi="Arial" w:eastAsia="Arial" w:cs="Arial"/>
          <w:b w:val="0"/>
          <w:sz w:val="24"/>
          <w:lang w:val="pt-BR"/>
        </w:rPr>
        <w:t xml:space="preserve"> A seção 1 atende ao pedido de Douglas Bianchezzi sobre a estrutura do ERP, e a seção 4 aos de Rafael Rodrigues Barbosa e Anderson Luiz Fernandes sobre minimização e anonimização dos dados. O item B19 do backlog implementa o filtro de saída.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2.</w:t>
        <w:tab/>
      </w:r>
      <w:r>
        <w:rPr>
          <w:rFonts w:ascii="Arial" w:hAnsi="Arial" w:eastAsia="Arial" w:cs="Arial"/>
          <w:b/>
          <w:sz w:val="24"/>
          <w:lang w:val="pt-BR"/>
        </w:rPr>
        <w:t>Autorização da empresa.</w:t>
      </w:r>
      <w:r>
        <w:rPr>
          <w:rFonts w:ascii="Arial" w:hAnsi="Arial" w:eastAsia="Arial" w:cs="Arial"/>
          <w:b w:val="0"/>
          <w:sz w:val="24"/>
          <w:lang w:val="pt-BR"/>
        </w:rPr>
        <w:t xml:space="preserve"> Concedida pela gestão, com a condição de não expor informação sensível, atendida pelas medidas da seção 4.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3.</w:t>
        <w:tab/>
      </w:r>
      <w:r>
        <w:rPr>
          <w:rFonts w:ascii="Arial" w:hAnsi="Arial" w:eastAsia="Arial" w:cs="Arial"/>
          <w:b/>
          <w:sz w:val="24"/>
          <w:lang w:val="pt-BR"/>
        </w:rPr>
        <w:t>Prazo.</w:t>
      </w:r>
      <w:r>
        <w:rPr>
          <w:rFonts w:ascii="Arial" w:hAnsi="Arial" w:eastAsia="Arial" w:cs="Arial"/>
          <w:b w:val="0"/>
          <w:sz w:val="24"/>
          <w:lang w:val="pt-BR"/>
        </w:rPr>
        <w:t xml:space="preserve"> Esta entrega e a E3 foram enviadas depois das datas previstas. O backlog e a seção 7.2 já consideram o calendário real até a banca.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sz w:val="20"/>
        <w:lang w:val="pt-BR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E4 — Arquitetura, Modelagem E Backlog</dc:title>
  <dc:subject/>
  <dc:creator>Eduardo Krause</dc:creator>
  <cp:keywords/>
  <dc:description/>
  <cp:lastModifiedBy>Eduardo Krause</cp:lastModifiedBy>
  <cp:revision>1</cp:revision>
  <dcterms:created xsi:type="dcterms:W3CDTF">2013-12-23T23:15:00Z</dcterms:created>
  <dcterms:modified xsi:type="dcterms:W3CDTF">2013-12-23T23:15:00Z</dcterms:modified>
  <cp:category/>
</cp:coreProperties>
</file>