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Anexo E — Registro de incidencias y paralización</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El cuaderno donde se anotan los hechos que interrumpen el trabajo: lo que se ha detectado, lo que se ha hecho en el momento, qué se ha comunicado y en qué condiciones se ha vuelto a empezar.</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Que la paralización de un tajo no dependa de la memoria de nadie. Una hoja de paralización sin condiciones para reanudar se convierte en un par de días de obra perdidos que nadie sabe explicar.</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Quien detecta la incidencia, sea un encargado, un operario, un técnico o un representante de los trabajadores. Quien decide reanudar es el responsable de la tarea, y la hoja lo deja escrito.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Cada vez que se para un trabajo, se detecta un riesgo no previsto, se produce un daño o un incidente, o alguien ejerce el derecho a interrumpir la actividad por riesgo grave e inminente.</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Fecha y hora, tipo de hecho, qué ocurrió exactamente, a quién afecta, la medida inmediata o la paralización, a quién se ha comunicado, cuándo se ha reanudado y con qué condiciones, y quién ha autorizado la reanudación.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Parar el trabajo por una decisión propia y bien fundada no es una baja rendimiento ni un problema con el encargado. La ley obliga a poder interrumpir la actividad ante peligro grave e inevitable, y no se puede exigir que se reanude mientras persista el peligro (art. 21 de la Ley 31/1995). La paralización ordenada por la Inspección de Trabajo es otra cosa: es una medida administrativa que se comunica y se cumple (art. 44 de la Ley 31/1995). Anota en la hoja cuál de las dos es, para que nadie las confunda. El registro no sustituye la comunicación obligatoria del accidente a la entidad competente ni la investigación que corresponda. Es el sitio donde queda el rastro interno. Un parte de incidencia firmado al mes siguiente no sirve para casi nada. Sirve para justificar el retraso.</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la paralización está prevista en los procedimientos de la empresa y que las medidas de emergencia están definidas para la obra (art. 20 de la Ley 31/1995).</w:t>
      </w:r>
    </w:p>
    <w:p>
      <w:pPr>
        <w:spacing w:after="40" w:line="264" w:lineRule="auto"/>
        <w:ind w:left="567" w:hanging="227"/>
      </w:pPr>
      <w:r>
        <w:rPr>
          <w:rFonts w:ascii="Arial" w:hAnsi="Arial"/>
          <w:color w:val="1A1A1A"/>
          <w:sz w:val="19"/>
        </w:rPr>
        <w:t>• Que la comunicación del accidente a la entidad competente se ha hecho dentro del plazo y por el canal que fija la normativa vigente. El plazo y el canal hay que comprobarlos en la fuente oficial y en el procedimiento de tu entidad: no hay una secuencia única para todos los casos.</w:t>
      </w:r>
    </w:p>
    <w:p>
      <w:pPr>
        <w:spacing w:after="40" w:line="264" w:lineRule="auto"/>
        <w:ind w:left="567" w:hanging="227"/>
      </w:pPr>
      <w:r>
        <w:rPr>
          <w:rFonts w:ascii="Arial" w:hAnsi="Arial"/>
          <w:color w:val="1A1A1A"/>
          <w:sz w:val="19"/>
        </w:rPr>
        <w:t>• Que, después de un accidente con daño para la salud, se revisa la evaluación de riesgos (art. 16 de la Ley 31/1995) y se comprueba si el plan sigue siendo válido (art. 7 del Real Decreto 1627/1997).</w:t>
      </w:r>
    </w:p>
    <w:p>
      <w:pPr>
        <w:spacing w:after="40" w:line="264" w:lineRule="auto"/>
        <w:ind w:left="567" w:hanging="227"/>
      </w:pPr>
      <w:r>
        <w:rPr>
          <w:rFonts w:ascii="Arial" w:hAnsi="Arial"/>
          <w:color w:val="1A1A1A"/>
          <w:sz w:val="19"/>
        </w:rPr>
        <w:t>• Que se ha informado a la representación de los trabajadores cuando corresponde y que se ha respetado su derecho a consultar y proponer (arts. 33 a 36 de la Ley 31/1995).</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Escribe los hechos, no las conclusiones. «Se ha parado el tajo» es un hecho; «no había control» es una conclusión que todavía no está probada.</w:t>
      </w:r>
    </w:p>
    <w:p>
      <w:pPr>
        <w:spacing w:after="40" w:line="264" w:lineRule="auto"/>
        <w:ind w:left="567" w:hanging="227"/>
      </w:pPr>
      <w:r>
        <w:rPr>
          <w:rFonts w:ascii="Arial" w:hAnsi="Arial"/>
          <w:color w:val="1A1A1A"/>
          <w:sz w:val="19"/>
        </w:rPr>
        <w:t>2. Anota la hora a la que se detecta y la hora a la que se reanuda. El hueco entre las dos es la medida del problema.</w:t>
      </w:r>
    </w:p>
    <w:p>
      <w:pPr>
        <w:spacing w:after="40" w:line="264" w:lineRule="auto"/>
        <w:ind w:left="567" w:hanging="227"/>
      </w:pPr>
      <w:r>
        <w:rPr>
          <w:rFonts w:ascii="Arial" w:hAnsi="Arial"/>
          <w:color w:val="1A1A1A"/>
          <w:sz w:val="19"/>
        </w:rPr>
        <w:t>3. La columna «Comunicado a» no es un formality: es la prueba de que alguien fue informado. Anota hora, medio y con quién.</w:t>
      </w:r>
    </w:p>
    <w:p>
      <w:pPr>
        <w:spacing w:after="40" w:line="264" w:lineRule="auto"/>
        <w:ind w:left="567" w:hanging="227"/>
      </w:pPr>
      <w:r>
        <w:rPr>
          <w:rFonts w:ascii="Arial" w:hAnsi="Arial"/>
          <w:color w:val="1A1A1A"/>
          <w:sz w:val="19"/>
        </w:rPr>
        <w:t>4. La reanudación solo se firma cuando las condiciones están cumplidas. «Se reanuda cuando se solucione» no es una condición.</w:t>
      </w:r>
    </w:p>
    <w:p>
      <w:pPr>
        <w:spacing w:after="40" w:line="264" w:lineRule="auto"/>
        <w:ind w:left="567" w:hanging="227"/>
      </w:pPr>
      <w:r>
        <w:rPr>
          <w:rFonts w:ascii="Arial" w:hAnsi="Arial"/>
          <w:color w:val="1A1A1A"/>
          <w:sz w:val="19"/>
        </w:rPr>
        <w:t>5. Si la incidencia abre una investigación (P1 a P7) o una deficienciesCorrectiva (P6), apúntalo en la tabla de seguimiento para que no se pierda.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Responsable del registro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 xml:space="preserve"> libro de incidencias abierto el</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registro</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E.1. Incidencias, medidas y reanudaciones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1376"/>
        <w:gridCol w:w="1376"/>
        <w:gridCol w:w="1376"/>
        <w:gridCol w:w="1376"/>
        <w:gridCol w:w="1376"/>
        <w:gridCol w:w="1376"/>
        <w:gridCol w:w="1376"/>
        <w:gridCol w:w="1376"/>
        <w:gridCol w:w="1376"/>
        <w:gridCol w:w="1376"/>
        <w:gridCol w:w="1376"/>
      </w:tblGrid>
      <w:tr>
        <w:trPr>
          <w:tblHeader w:val="true"/>
          <w:cantSplit/>
        </w:trPr>
        <w:tc>
          <w:tcPr>
            <w:tcW w:type="dxa" w:w="45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003"/>
            <w:vAlign w:val="top"/>
            <w:shd w:val="clear" w:color="auto" w:fill="F2F2F2"/>
          </w:tcPr>
          <w:p>
            <w:pPr>
              <w:spacing w:before="30" w:after="30" w:line="240" w:lineRule="auto"/>
              <w:jc w:val="left"/>
            </w:pPr>
            <w:r>
              <w:rPr>
                <w:rFonts w:ascii="Arial" w:hAnsi="Arial"/>
                <w:b/>
                <w:color w:val="1A1A1A"/>
                <w:sz w:val="18"/>
              </w:rPr>
              <w:t>Fecha y hora</w:t>
            </w:r>
          </w:p>
          <w:p>
            <w:pPr>
              <w:spacing w:after="0"/>
            </w:pPr>
            <w:r>
              <w:rPr>
                <w:i/>
                <w:color w:val="808080"/>
                <w:sz w:val="14"/>
              </w:rPr>
              <w:t>obligatorio</w:t>
            </w:r>
          </w:p>
        </w:tc>
        <w:tc>
          <w:tcPr>
            <w:tcW w:type="dxa" w:w="1094"/>
            <w:vAlign w:val="top"/>
            <w:shd w:val="clear" w:color="auto" w:fill="F2F2F2"/>
          </w:tcPr>
          <w:p>
            <w:pPr>
              <w:spacing w:before="30" w:after="30" w:line="240" w:lineRule="auto"/>
              <w:jc w:val="left"/>
            </w:pPr>
            <w:r>
              <w:rPr>
                <w:rFonts w:ascii="Arial" w:hAnsi="Arial"/>
                <w:b/>
                <w:color w:val="1A1A1A"/>
                <w:sz w:val="18"/>
              </w:rPr>
              <w:t>Tipo</w:t>
            </w:r>
          </w:p>
          <w:p>
            <w:pPr>
              <w:spacing w:after="0"/>
            </w:pPr>
            <w:r>
              <w:rPr>
                <w:i/>
                <w:color w:val="808080"/>
                <w:sz w:val="14"/>
              </w:rPr>
              <w:t>obligatorio</w:t>
            </w:r>
          </w:p>
        </w:tc>
        <w:tc>
          <w:tcPr>
            <w:tcW w:type="dxa" w:w="2551"/>
            <w:vAlign w:val="top"/>
            <w:shd w:val="clear" w:color="auto" w:fill="F2F2F2"/>
          </w:tcPr>
          <w:p>
            <w:pPr>
              <w:spacing w:before="30" w:after="30" w:line="240" w:lineRule="auto"/>
              <w:jc w:val="left"/>
            </w:pPr>
            <w:r>
              <w:rPr>
                <w:rFonts w:ascii="Arial" w:hAnsi="Arial"/>
                <w:b/>
                <w:color w:val="1A1A1A"/>
                <w:sz w:val="18"/>
              </w:rPr>
              <w:t>Descripción de lo ocurrido</w:t>
            </w:r>
          </w:p>
          <w:p>
            <w:pPr>
              <w:spacing w:after="0"/>
            </w:pPr>
            <w:r>
              <w:rPr>
                <w:i/>
                <w:color w:val="808080"/>
                <w:sz w:val="14"/>
              </w:rPr>
              <w:t>obligatorio</w:t>
            </w:r>
          </w:p>
        </w:tc>
        <w:tc>
          <w:tcPr>
            <w:tcW w:type="dxa" w:w="1185"/>
            <w:vAlign w:val="top"/>
            <w:shd w:val="clear" w:color="auto" w:fill="F2F2F2"/>
          </w:tcPr>
          <w:p>
            <w:pPr>
              <w:spacing w:before="30" w:after="30" w:line="240" w:lineRule="auto"/>
              <w:jc w:val="left"/>
            </w:pPr>
            <w:r>
              <w:rPr>
                <w:rFonts w:ascii="Arial" w:hAnsi="Arial"/>
                <w:b/>
                <w:color w:val="1A1A1A"/>
                <w:sz w:val="18"/>
              </w:rPr>
              <w:t>Personas implicadas</w:t>
            </w:r>
          </w:p>
          <w:p>
            <w:pPr>
              <w:spacing w:after="0"/>
            </w:pPr>
            <w:r>
              <w:rPr>
                <w:i/>
                <w:color w:val="808080"/>
                <w:sz w:val="14"/>
              </w:rPr>
              <w:t>obligatorio si procede</w:t>
            </w:r>
          </w:p>
        </w:tc>
        <w:tc>
          <w:tcPr>
            <w:tcW w:type="dxa" w:w="2370"/>
            <w:vAlign w:val="top"/>
            <w:shd w:val="clear" w:color="auto" w:fill="F2F2F2"/>
          </w:tcPr>
          <w:p>
            <w:pPr>
              <w:spacing w:before="30" w:after="30" w:line="240" w:lineRule="auto"/>
              <w:jc w:val="left"/>
            </w:pPr>
            <w:r>
              <w:rPr>
                <w:rFonts w:ascii="Arial" w:hAnsi="Arial"/>
                <w:b/>
                <w:color w:val="1A1A1A"/>
                <w:sz w:val="18"/>
              </w:rPr>
              <w:t>Medida inmediata o paralización</w:t>
            </w:r>
          </w:p>
          <w:p>
            <w:pPr>
              <w:spacing w:after="0"/>
            </w:pPr>
            <w:r>
              <w:rPr>
                <w:i/>
                <w:color w:val="808080"/>
                <w:sz w:val="14"/>
              </w:rPr>
              <w:t>obligatorio</w:t>
            </w:r>
          </w:p>
        </w:tc>
        <w:tc>
          <w:tcPr>
            <w:tcW w:type="dxa" w:w="1644"/>
            <w:vAlign w:val="top"/>
            <w:shd w:val="clear" w:color="auto" w:fill="F2F2F2"/>
          </w:tcPr>
          <w:p>
            <w:pPr>
              <w:spacing w:before="30" w:after="30" w:line="240" w:lineRule="auto"/>
              <w:jc w:val="left"/>
            </w:pPr>
            <w:r>
              <w:rPr>
                <w:rFonts w:ascii="Arial" w:hAnsi="Arial"/>
                <w:b/>
                <w:color w:val="1A1A1A"/>
                <w:sz w:val="18"/>
              </w:rPr>
              <w:t>Comunicado a</w:t>
            </w:r>
          </w:p>
          <w:p>
            <w:pPr>
              <w:spacing w:after="0"/>
            </w:pPr>
            <w:r>
              <w:rPr>
                <w:i/>
                <w:color w:val="808080"/>
                <w:sz w:val="14"/>
              </w:rPr>
              <w:t>obligatorio</w:t>
            </w:r>
          </w:p>
        </w:tc>
        <w:tc>
          <w:tcPr>
            <w:tcW w:type="dxa" w:w="1003"/>
            <w:vAlign w:val="top"/>
            <w:shd w:val="clear" w:color="auto" w:fill="F2F2F2"/>
          </w:tcPr>
          <w:p>
            <w:pPr>
              <w:spacing w:before="30" w:after="30" w:line="240" w:lineRule="auto"/>
              <w:jc w:val="left"/>
            </w:pPr>
            <w:r>
              <w:rPr>
                <w:rFonts w:ascii="Arial" w:hAnsi="Arial"/>
                <w:b/>
                <w:color w:val="1A1A1A"/>
                <w:sz w:val="18"/>
              </w:rPr>
              <w:t>Reanudación (fecha y hora)</w:t>
            </w:r>
          </w:p>
        </w:tc>
        <w:tc>
          <w:tcPr>
            <w:tcW w:type="dxa" w:w="1826"/>
            <w:vAlign w:val="top"/>
            <w:shd w:val="clear" w:color="auto" w:fill="F2F2F2"/>
          </w:tcPr>
          <w:p>
            <w:pPr>
              <w:spacing w:before="30" w:after="30" w:line="240" w:lineRule="auto"/>
              <w:jc w:val="left"/>
            </w:pPr>
            <w:r>
              <w:rPr>
                <w:rFonts w:ascii="Arial" w:hAnsi="Arial"/>
                <w:b/>
                <w:color w:val="1A1A1A"/>
                <w:sz w:val="18"/>
              </w:rPr>
              <w:t>Condiciones para reanudar</w:t>
            </w:r>
          </w:p>
        </w:tc>
        <w:tc>
          <w:tcPr>
            <w:tcW w:type="dxa" w:w="1094"/>
            <w:vAlign w:val="top"/>
            <w:shd w:val="clear" w:color="auto" w:fill="F2F2F2"/>
          </w:tcPr>
          <w:p>
            <w:pPr>
              <w:spacing w:before="30" w:after="30" w:line="240" w:lineRule="auto"/>
              <w:jc w:val="left"/>
            </w:pPr>
            <w:r>
              <w:rPr>
                <w:rFonts w:ascii="Arial" w:hAnsi="Arial"/>
                <w:b/>
                <w:color w:val="1A1A1A"/>
                <w:sz w:val="18"/>
              </w:rPr>
              <w:t>Autorizado por</w:t>
            </w:r>
          </w:p>
        </w:tc>
        <w:tc>
          <w:tcPr>
            <w:tcW w:type="dxa" w:w="913"/>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 Condición no prevista · Riesgo detectado en inspección · Incidente sin daño · Accidente con lesión · Daño a tercero o a la obra · Acto inseguro con daño potencial</w:t>
            </w:r>
          </w:p>
        </w:tc>
        <w:tc>
          <w:tcPr>
            <w:tcW w:type="dxa" w:w="2551"/>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826"/>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tc>
        <w:tc>
          <w:tcPr>
            <w:tcW w:type="dxa" w:w="913"/>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 Condición no prevista · Riesgo detectado en inspección · Incidente sin daño · Accidente con lesión · Daño a tercero o a la obra · Acto inseguro con daño potencial</w:t>
            </w:r>
          </w:p>
        </w:tc>
        <w:tc>
          <w:tcPr>
            <w:tcW w:type="dxa" w:w="2551"/>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826"/>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tc>
        <w:tc>
          <w:tcPr>
            <w:tcW w:type="dxa" w:w="913"/>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 Condición no prevista · Riesgo detectado en inspección · Incidente sin daño · Accidente con lesión · Daño a tercero o a la obra · Acto inseguro con daño potencial</w:t>
            </w:r>
          </w:p>
        </w:tc>
        <w:tc>
          <w:tcPr>
            <w:tcW w:type="dxa" w:w="2551"/>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826"/>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tc>
        <w:tc>
          <w:tcPr>
            <w:tcW w:type="dxa" w:w="913"/>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w:t>
            </w:r>
          </w:p>
        </w:tc>
      </w:tr>
    </w:tbl>
    <w:p>
      <w:pPr>
        <w:spacing w:after="160" w:before="0" w:line="264" w:lineRule="auto"/>
      </w:pPr>
      <w:r>
        <w:rPr>
          <w:rFonts w:ascii="Arial" w:hAnsi="Arial"/>
          <w:b w:val="0"/>
          <w:i/>
          <w:color w:val="1A1A1A"/>
          <w:sz w:val="17"/>
        </w:rPr>
        <w:t>La fila 3 tiene su Continuity ficha abierta en las plantillas de investigación (P1 a P7). En el campo «Tipo» se anota lo que se ve, no la causa: la causa se establece en la investigación.</w:t>
      </w:r>
    </w:p>
    <w:p>
      <w:pPr>
        <w:keepNext/>
        <w:spacing w:after="40" w:before="0" w:line="264" w:lineRule="auto"/>
      </w:pPr>
      <w:r>
        <w:rPr>
          <w:rFonts w:ascii="Arial" w:hAnsi="Arial"/>
          <w:b/>
          <w:i w:val="0"/>
          <w:color w:val="1A1A1A"/>
          <w:sz w:val="19"/>
        </w:rPr>
        <w:t>E.2. Seguimiento de lo derivado de cada incidencia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1939"/>
            <w:vAlign w:val="top"/>
            <w:shd w:val="clear" w:color="auto" w:fill="F2F2F2"/>
          </w:tcPr>
          <w:p>
            <w:pPr>
              <w:spacing w:before="30" w:after="30" w:line="240" w:lineRule="auto"/>
              <w:jc w:val="left"/>
            </w:pPr>
            <w:r>
              <w:rPr>
                <w:rFonts w:ascii="Arial" w:hAnsi="Arial"/>
                <w:b/>
                <w:color w:val="1A1A1A"/>
                <w:sz w:val="18"/>
              </w:rPr>
              <w:t>Nº de incidencia</w:t>
            </w:r>
          </w:p>
          <w:p>
            <w:pPr>
              <w:spacing w:after="0"/>
            </w:pPr>
            <w:r>
              <w:rPr>
                <w:i/>
                <w:color w:val="808080"/>
                <w:sz w:val="14"/>
              </w:rPr>
              <w:t>obligatorio</w:t>
            </w:r>
          </w:p>
        </w:tc>
        <w:tc>
          <w:tcPr>
            <w:tcW w:type="dxa" w:w="5822"/>
            <w:vAlign w:val="top"/>
            <w:shd w:val="clear" w:color="auto" w:fill="F2F2F2"/>
          </w:tcPr>
          <w:p>
            <w:pPr>
              <w:spacing w:before="30" w:after="30" w:line="240" w:lineRule="auto"/>
              <w:jc w:val="left"/>
            </w:pPr>
            <w:r>
              <w:rPr>
                <w:rFonts w:ascii="Arial" w:hAnsi="Arial"/>
                <w:b/>
                <w:color w:val="1A1A1A"/>
                <w:sz w:val="18"/>
              </w:rPr>
              <w:t>Acción derivada</w:t>
            </w:r>
          </w:p>
          <w:p>
            <w:pPr>
              <w:spacing w:after="0"/>
            </w:pPr>
            <w:r>
              <w:rPr>
                <w:i/>
                <w:color w:val="808080"/>
                <w:sz w:val="14"/>
              </w:rPr>
              <w:t>obligatorio</w:t>
            </w:r>
          </w:p>
        </w:tc>
        <w:tc>
          <w:tcPr>
            <w:tcW w:type="dxa" w:w="2716"/>
            <w:vAlign w:val="top"/>
            <w:shd w:val="clear" w:color="auto" w:fill="F2F2F2"/>
          </w:tcPr>
          <w:p>
            <w:pPr>
              <w:spacing w:before="30" w:after="30" w:line="240" w:lineRule="auto"/>
              <w:jc w:val="left"/>
            </w:pPr>
            <w:r>
              <w:rPr>
                <w:rFonts w:ascii="Arial" w:hAnsi="Arial"/>
                <w:b/>
                <w:color w:val="1A1A1A"/>
                <w:sz w:val="18"/>
              </w:rPr>
              <w:t>Dónde se registra</w:t>
            </w:r>
          </w:p>
          <w:p>
            <w:pPr>
              <w:spacing w:after="0"/>
            </w:pPr>
            <w:r>
              <w:rPr>
                <w:i/>
                <w:color w:val="808080"/>
                <w:sz w:val="14"/>
              </w:rPr>
              <w:t>obligatorio</w:t>
            </w:r>
          </w:p>
        </w:tc>
        <w:tc>
          <w:tcPr>
            <w:tcW w:type="dxa" w:w="2716"/>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939"/>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r>
      <w:tr>
        <w:trPr>
          <w:cantSplit/>
        </w:trPr>
        <w:tc>
          <w:tcPr>
            <w:tcW w:type="dxa" w:w="1939"/>
            <w:vAlign w:val="top"/>
          </w:tcPr>
          <w:p>
            <w:pPr>
              <w:spacing w:before="30" w:after="30" w:line="240" w:lineRule="auto"/>
              <w:jc w:val="left"/>
            </w:pPr>
            <w:r>
              <w:rPr>
                <w:rFonts w:ascii="Arial" w:hAnsi="Arial"/>
                <w:b w:val="0"/>
                <w:color w:val="1A1A1A"/>
                <w:sz w:val="18"/>
              </w:rPr>
            </w:r>
          </w:p>
        </w:tc>
        <w:tc>
          <w:tcPr>
            <w:tcW w:type="dxa" w:w="5822"/>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1939"/>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1939"/>
            <w:vAlign w:val="top"/>
          </w:tcPr>
          <w:p>
            <w:pPr>
              <w:spacing w:before="30" w:after="30" w:line="240" w:lineRule="auto"/>
              <w:jc w:val="left"/>
            </w:pPr>
            <w:r>
              <w:rPr>
                <w:rFonts w:ascii="Arial" w:hAnsi="Arial"/>
                <w:b w:val="0"/>
                <w:color w:val="1A1A1A"/>
                <w:sz w:val="18"/>
              </w:rPr>
            </w:r>
          </w:p>
        </w:tc>
        <w:tc>
          <w:tcPr>
            <w:tcW w:type="dxa" w:w="5822"/>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1939"/>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1939"/>
            <w:vAlign w:val="top"/>
          </w:tcPr>
          <w:p>
            <w:pPr>
              <w:spacing w:before="30" w:after="30" w:line="240" w:lineRule="auto"/>
              <w:jc w:val="left"/>
            </w:pPr>
            <w:r>
              <w:rPr>
                <w:rFonts w:ascii="Arial" w:hAnsi="Arial"/>
                <w:b w:val="0"/>
                <w:color w:val="1A1A1A"/>
                <w:sz w:val="18"/>
              </w:rPr>
            </w:r>
          </w:p>
        </w:tc>
        <w:tc>
          <w:tcPr>
            <w:tcW w:type="dxa" w:w="5822"/>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1939"/>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bl>
    <w:p>
      <w:pPr>
        <w:spacing w:after="40" w:before="0" w:line="264" w:lineRule="auto"/>
      </w:pPr>
      <w:r>
        <w:rPr>
          <w:rFonts w:ascii="Arial" w:hAnsi="Arial"/>
          <w:b w:val="0"/>
          <w:i w:val="0"/>
          <w:color w:val="1A1A1A"/>
          <w:sz w:val="8"/>
        </w:rPr>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Reforma de baño en vivienda habitada (Promotion Bath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t>Calle Membrillar 14, 3.º B, 28004 Madrid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Responsable del registro</w:t>
            </w:r>
          </w:p>
        </w:tc>
        <w:tc>
          <w:tcPr>
            <w:tcW w:type="dxa" w:w="12189"/>
            <w:vAlign w:val="top"/>
          </w:tcPr>
          <w:p>
            <w:pPr>
              <w:spacing w:before="30" w:after="30" w:line="240" w:lineRule="auto"/>
              <w:jc w:val="left"/>
            </w:pPr>
            <w:r>
              <w:rPr>
                <w:rFonts w:ascii="Arial" w:hAnsi="Arial"/>
                <w:b w:val="0"/>
                <w:color w:val="1A1A1A"/>
                <w:sz w:val="18"/>
              </w:rPr>
              <w:t>Jorge Andrés Simón (encargado de obra)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 xml:space="preserve"> libro de incidencias abierto el</w:t>
            </w:r>
          </w:p>
        </w:tc>
        <w:tc>
          <w:tcPr>
            <w:tcW w:type="dxa" w:w="12189"/>
            <w:vAlign w:val="top"/>
          </w:tcPr>
          <w:p>
            <w:pPr>
              <w:spacing w:before="30" w:after="30" w:line="240" w:lineRule="auto"/>
              <w:jc w:val="left"/>
            </w:pPr>
            <w:r>
              <w:rPr>
                <w:rFonts w:ascii="Arial" w:hAnsi="Arial"/>
                <w:b w:val="0"/>
                <w:color w:val="1A1A1A"/>
                <w:sz w:val="18"/>
              </w:rPr>
              <w:t>06/10/2026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registro</w:t>
            </w:r>
          </w:p>
        </w:tc>
        <w:tc>
          <w:tcPr>
            <w:tcW w:type="dxa" w:w="12189"/>
            <w:vAlign w:val="top"/>
          </w:tcPr>
          <w:p>
            <w:pPr>
              <w:spacing w:before="30" w:after="30" w:line="240" w:lineRule="auto"/>
              <w:jc w:val="left"/>
            </w:pPr>
            <w:r>
              <w:rPr>
                <w:rFonts w:ascii="Arial" w:hAnsi="Arial"/>
                <w:b w:val="0"/>
                <w:color w:val="1A1A1A"/>
                <w:sz w:val="18"/>
              </w:rPr>
              <w:t>Incidencias de obra y paralizaciones de tajo</w:t>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E.1. Incidencias, medidas y reanudaciones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1376"/>
        <w:gridCol w:w="1376"/>
        <w:gridCol w:w="1376"/>
        <w:gridCol w:w="1376"/>
        <w:gridCol w:w="1376"/>
        <w:gridCol w:w="1376"/>
        <w:gridCol w:w="1376"/>
        <w:gridCol w:w="1376"/>
        <w:gridCol w:w="1376"/>
        <w:gridCol w:w="1376"/>
        <w:gridCol w:w="1376"/>
      </w:tblGrid>
      <w:tr>
        <w:trPr>
          <w:tblHeader w:val="true"/>
          <w:cantSplit/>
        </w:trPr>
        <w:tc>
          <w:tcPr>
            <w:tcW w:type="dxa" w:w="45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003"/>
            <w:vAlign w:val="top"/>
            <w:shd w:val="clear" w:color="auto" w:fill="F2F2F2"/>
          </w:tcPr>
          <w:p>
            <w:pPr>
              <w:spacing w:before="30" w:after="30" w:line="240" w:lineRule="auto"/>
              <w:jc w:val="left"/>
            </w:pPr>
            <w:r>
              <w:rPr>
                <w:rFonts w:ascii="Arial" w:hAnsi="Arial"/>
                <w:b/>
                <w:color w:val="1A1A1A"/>
                <w:sz w:val="18"/>
              </w:rPr>
              <w:t>Fecha y hora</w:t>
            </w:r>
          </w:p>
          <w:p>
            <w:pPr>
              <w:spacing w:after="0"/>
            </w:pPr>
            <w:r>
              <w:rPr>
                <w:i/>
                <w:color w:val="808080"/>
                <w:sz w:val="14"/>
              </w:rPr>
              <w:t>obligatorio</w:t>
            </w:r>
          </w:p>
        </w:tc>
        <w:tc>
          <w:tcPr>
            <w:tcW w:type="dxa" w:w="1094"/>
            <w:vAlign w:val="top"/>
            <w:shd w:val="clear" w:color="auto" w:fill="F2F2F2"/>
          </w:tcPr>
          <w:p>
            <w:pPr>
              <w:spacing w:before="30" w:after="30" w:line="240" w:lineRule="auto"/>
              <w:jc w:val="left"/>
            </w:pPr>
            <w:r>
              <w:rPr>
                <w:rFonts w:ascii="Arial" w:hAnsi="Arial"/>
                <w:b/>
                <w:color w:val="1A1A1A"/>
                <w:sz w:val="18"/>
              </w:rPr>
              <w:t>Tipo</w:t>
            </w:r>
          </w:p>
          <w:p>
            <w:pPr>
              <w:spacing w:after="0"/>
            </w:pPr>
            <w:r>
              <w:rPr>
                <w:i/>
                <w:color w:val="808080"/>
                <w:sz w:val="14"/>
              </w:rPr>
              <w:t>obligatorio</w:t>
            </w:r>
          </w:p>
        </w:tc>
        <w:tc>
          <w:tcPr>
            <w:tcW w:type="dxa" w:w="2551"/>
            <w:vAlign w:val="top"/>
            <w:shd w:val="clear" w:color="auto" w:fill="F2F2F2"/>
          </w:tcPr>
          <w:p>
            <w:pPr>
              <w:spacing w:before="30" w:after="30" w:line="240" w:lineRule="auto"/>
              <w:jc w:val="left"/>
            </w:pPr>
            <w:r>
              <w:rPr>
                <w:rFonts w:ascii="Arial" w:hAnsi="Arial"/>
                <w:b/>
                <w:color w:val="1A1A1A"/>
                <w:sz w:val="18"/>
              </w:rPr>
              <w:t>Descripción de lo ocurrido</w:t>
            </w:r>
          </w:p>
          <w:p>
            <w:pPr>
              <w:spacing w:after="0"/>
            </w:pPr>
            <w:r>
              <w:rPr>
                <w:i/>
                <w:color w:val="808080"/>
                <w:sz w:val="14"/>
              </w:rPr>
              <w:t>obligatorio</w:t>
            </w:r>
          </w:p>
        </w:tc>
        <w:tc>
          <w:tcPr>
            <w:tcW w:type="dxa" w:w="1185"/>
            <w:vAlign w:val="top"/>
            <w:shd w:val="clear" w:color="auto" w:fill="F2F2F2"/>
          </w:tcPr>
          <w:p>
            <w:pPr>
              <w:spacing w:before="30" w:after="30" w:line="240" w:lineRule="auto"/>
              <w:jc w:val="left"/>
            </w:pPr>
            <w:r>
              <w:rPr>
                <w:rFonts w:ascii="Arial" w:hAnsi="Arial"/>
                <w:b/>
                <w:color w:val="1A1A1A"/>
                <w:sz w:val="18"/>
              </w:rPr>
              <w:t>Personas implicadas</w:t>
            </w:r>
          </w:p>
          <w:p>
            <w:pPr>
              <w:spacing w:after="0"/>
            </w:pPr>
            <w:r>
              <w:rPr>
                <w:i/>
                <w:color w:val="808080"/>
                <w:sz w:val="14"/>
              </w:rPr>
              <w:t>obligatorio si procede</w:t>
            </w:r>
          </w:p>
        </w:tc>
        <w:tc>
          <w:tcPr>
            <w:tcW w:type="dxa" w:w="2370"/>
            <w:vAlign w:val="top"/>
            <w:shd w:val="clear" w:color="auto" w:fill="F2F2F2"/>
          </w:tcPr>
          <w:p>
            <w:pPr>
              <w:spacing w:before="30" w:after="30" w:line="240" w:lineRule="auto"/>
              <w:jc w:val="left"/>
            </w:pPr>
            <w:r>
              <w:rPr>
                <w:rFonts w:ascii="Arial" w:hAnsi="Arial"/>
                <w:b/>
                <w:color w:val="1A1A1A"/>
                <w:sz w:val="18"/>
              </w:rPr>
              <w:t>Medida inmediata o paralización</w:t>
            </w:r>
          </w:p>
          <w:p>
            <w:pPr>
              <w:spacing w:after="0"/>
            </w:pPr>
            <w:r>
              <w:rPr>
                <w:i/>
                <w:color w:val="808080"/>
                <w:sz w:val="14"/>
              </w:rPr>
              <w:t>obligatorio</w:t>
            </w:r>
          </w:p>
        </w:tc>
        <w:tc>
          <w:tcPr>
            <w:tcW w:type="dxa" w:w="1644"/>
            <w:vAlign w:val="top"/>
            <w:shd w:val="clear" w:color="auto" w:fill="F2F2F2"/>
          </w:tcPr>
          <w:p>
            <w:pPr>
              <w:spacing w:before="30" w:after="30" w:line="240" w:lineRule="auto"/>
              <w:jc w:val="left"/>
            </w:pPr>
            <w:r>
              <w:rPr>
                <w:rFonts w:ascii="Arial" w:hAnsi="Arial"/>
                <w:b/>
                <w:color w:val="1A1A1A"/>
                <w:sz w:val="18"/>
              </w:rPr>
              <w:t>Comunicado a</w:t>
            </w:r>
          </w:p>
          <w:p>
            <w:pPr>
              <w:spacing w:after="0"/>
            </w:pPr>
            <w:r>
              <w:rPr>
                <w:i/>
                <w:color w:val="808080"/>
                <w:sz w:val="14"/>
              </w:rPr>
              <w:t>obligatorio</w:t>
            </w:r>
          </w:p>
        </w:tc>
        <w:tc>
          <w:tcPr>
            <w:tcW w:type="dxa" w:w="1003"/>
            <w:vAlign w:val="top"/>
            <w:shd w:val="clear" w:color="auto" w:fill="F2F2F2"/>
          </w:tcPr>
          <w:p>
            <w:pPr>
              <w:spacing w:before="30" w:after="30" w:line="240" w:lineRule="auto"/>
              <w:jc w:val="left"/>
            </w:pPr>
            <w:r>
              <w:rPr>
                <w:rFonts w:ascii="Arial" w:hAnsi="Arial"/>
                <w:b/>
                <w:color w:val="1A1A1A"/>
                <w:sz w:val="18"/>
              </w:rPr>
              <w:t>Reanudación (fecha y hora)</w:t>
            </w:r>
          </w:p>
        </w:tc>
        <w:tc>
          <w:tcPr>
            <w:tcW w:type="dxa" w:w="1826"/>
            <w:vAlign w:val="top"/>
            <w:shd w:val="clear" w:color="auto" w:fill="F2F2F2"/>
          </w:tcPr>
          <w:p>
            <w:pPr>
              <w:spacing w:before="30" w:after="30" w:line="240" w:lineRule="auto"/>
              <w:jc w:val="left"/>
            </w:pPr>
            <w:r>
              <w:rPr>
                <w:rFonts w:ascii="Arial" w:hAnsi="Arial"/>
                <w:b/>
                <w:color w:val="1A1A1A"/>
                <w:sz w:val="18"/>
              </w:rPr>
              <w:t>Condiciones para reanudar</w:t>
            </w:r>
          </w:p>
        </w:tc>
        <w:tc>
          <w:tcPr>
            <w:tcW w:type="dxa" w:w="1094"/>
            <w:vAlign w:val="top"/>
            <w:shd w:val="clear" w:color="auto" w:fill="F2F2F2"/>
          </w:tcPr>
          <w:p>
            <w:pPr>
              <w:spacing w:before="30" w:after="30" w:line="240" w:lineRule="auto"/>
              <w:jc w:val="left"/>
            </w:pPr>
            <w:r>
              <w:rPr>
                <w:rFonts w:ascii="Arial" w:hAnsi="Arial"/>
                <w:b/>
                <w:color w:val="1A1A1A"/>
                <w:sz w:val="18"/>
              </w:rPr>
              <w:t>Autorizado por</w:t>
            </w:r>
          </w:p>
        </w:tc>
        <w:tc>
          <w:tcPr>
            <w:tcW w:type="dxa" w:w="913"/>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454"/>
            <w:vAlign w:val="top"/>
          </w:tcPr>
          <w:p>
            <w:pPr>
              <w:spacing w:before="30" w:after="30" w:line="240" w:lineRule="auto"/>
              <w:jc w:val="left"/>
            </w:pPr>
            <w:r>
              <w:rPr>
                <w:rFonts w:ascii="Arial" w:hAnsi="Arial"/>
                <w:b w:val="0"/>
                <w:color w:val="1A1A1A"/>
                <w:sz w:val="18"/>
              </w:rPr>
              <w:t>1</w:t>
            </w:r>
          </w:p>
        </w:tc>
        <w:tc>
          <w:tcPr>
            <w:tcW w:type="dxa" w:w="1003"/>
            <w:vAlign w:val="top"/>
          </w:tcPr>
          <w:p>
            <w:pPr>
              <w:spacing w:before="30" w:after="30" w:line="240" w:lineRule="auto"/>
              <w:jc w:val="left"/>
            </w:pPr>
            <w:r>
              <w:rPr>
                <w:rFonts w:ascii="Arial" w:hAnsi="Arial"/>
                <w:b w:val="0"/>
                <w:color w:val="1A1A1A"/>
                <w:sz w:val="18"/>
              </w:rPr>
              <w:t>12/10/2026 17:40</w:t>
            </w:r>
          </w:p>
        </w:tc>
        <w:tc>
          <w:tcPr>
            <w:tcW w:type="dxa" w:w="1094"/>
            <w:vAlign w:val="top"/>
          </w:tcPr>
          <w:p>
            <w:pPr>
              <w:spacing w:before="30" w:after="30" w:line="240" w:lineRule="auto"/>
              <w:jc w:val="left"/>
            </w:pPr>
            <w:r>
              <w:rPr>
                <w:rFonts w:ascii="Arial" w:hAnsi="Arial"/>
                <w:b w:val="0"/>
                <w:color w:val="1A1A1A"/>
                <w:sz w:val="18"/>
              </w:rPr>
              <w:t>Acto inseguro con daño potencial</w:t>
            </w:r>
          </w:p>
        </w:tc>
        <w:tc>
          <w:tcPr>
            <w:tcW w:type="dxa" w:w="2551"/>
            <w:vAlign w:val="top"/>
          </w:tcPr>
          <w:p>
            <w:pPr>
              <w:spacing w:before="30" w:after="30" w:line="240" w:lineRule="auto"/>
              <w:jc w:val="left"/>
            </w:pPr>
            <w:r>
              <w:rPr>
                <w:rFonts w:ascii="Arial" w:hAnsi="Arial"/>
                <w:b w:val="0"/>
                <w:color w:val="1A1A1A"/>
                <w:sz w:val="18"/>
              </w:rPr>
              <w:t>Un operario se apoya en la barandilla perimetral de la plataforma para alcanzar el tornillo del falso techo del pasillo</w:t>
            </w:r>
          </w:p>
        </w:tc>
        <w:tc>
          <w:tcPr>
            <w:tcW w:type="dxa" w:w="1185"/>
            <w:vAlign w:val="top"/>
          </w:tcPr>
          <w:p>
            <w:pPr>
              <w:spacing w:before="30" w:after="30" w:line="240" w:lineRule="auto"/>
              <w:jc w:val="left"/>
            </w:pPr>
            <w:r>
              <w:rPr>
                <w:rFonts w:ascii="Arial" w:hAnsi="Arial"/>
                <w:b w:val="0"/>
                <w:color w:val="1A1A1A"/>
                <w:sz w:val="18"/>
              </w:rPr>
              <w:t>Óscar Belmonte Ruiz (peón)</w:t>
            </w:r>
          </w:p>
        </w:tc>
        <w:tc>
          <w:tcPr>
            <w:tcW w:type="dxa" w:w="2370"/>
            <w:vAlign w:val="top"/>
          </w:tcPr>
          <w:p>
            <w:pPr>
              <w:spacing w:before="30" w:after="30" w:line="240" w:lineRule="auto"/>
              <w:jc w:val="left"/>
            </w:pPr>
            <w:r>
              <w:rPr>
                <w:rFonts w:ascii="Arial" w:hAnsi="Arial"/>
                <w:b w:val="0"/>
                <w:color w:val="1A1A1A"/>
                <w:sz w:val="18"/>
              </w:rPr>
              <w:t>Se le pide que baje y se repasa el uso de la plataforma en la reunión del día siguiente; el tornillo se coloca con la plataforma apoyada en el muro</w:t>
            </w:r>
          </w:p>
        </w:tc>
        <w:tc>
          <w:tcPr>
            <w:tcW w:type="dxa" w:w="1644"/>
            <w:vAlign w:val="top"/>
          </w:tcPr>
          <w:p>
            <w:pPr>
              <w:spacing w:before="30" w:after="30" w:line="240" w:lineRule="auto"/>
              <w:jc w:val="left"/>
            </w:pPr>
            <w:r>
              <w:rPr>
                <w:rFonts w:ascii="Arial" w:hAnsi="Arial"/>
                <w:b w:val="0"/>
                <w:color w:val="1A1A1A"/>
                <w:sz w:val="18"/>
              </w:rPr>
              <w:t>Encargado de obra, en el tajo. Vecinos de 3.º A, sin incidencias</w:t>
            </w:r>
          </w:p>
        </w:tc>
        <w:tc>
          <w:tcPr>
            <w:tcW w:type="dxa" w:w="1003"/>
            <w:vAlign w:val="top"/>
          </w:tcPr>
          <w:p>
            <w:pPr>
              <w:spacing w:before="30" w:after="30" w:line="240" w:lineRule="auto"/>
              <w:jc w:val="left"/>
            </w:pPr>
            <w:r>
              <w:rPr>
                <w:rFonts w:ascii="Arial" w:hAnsi="Arial"/>
                <w:b w:val="0"/>
                <w:color w:val="1A1A1A"/>
                <w:sz w:val="18"/>
              </w:rPr>
            </w:r>
          </w:p>
        </w:tc>
        <w:tc>
          <w:tcPr>
            <w:tcW w:type="dxa" w:w="1826"/>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tc>
        <w:tc>
          <w:tcPr>
            <w:tcW w:type="dxa" w:w="913"/>
            <w:vAlign w:val="top"/>
          </w:tcPr>
          <w:p>
            <w:pPr>
              <w:spacing w:before="30" w:after="30" w:line="240" w:lineRule="auto"/>
              <w:jc w:val="left"/>
            </w:pPr>
            <w:r>
              <w:rPr>
                <w:rFonts w:ascii="Arial" w:hAnsi="Arial"/>
                <w:b w:val="0"/>
                <w:color w:val="1A1A1A"/>
                <w:sz w:val="18"/>
              </w:rPr>
              <w:t>Cerrada</w:t>
            </w:r>
          </w:p>
        </w:tc>
      </w:tr>
      <w:tr>
        <w:trPr>
          <w:cantSplit/>
        </w:trPr>
        <w:tc>
          <w:tcPr>
            <w:tcW w:type="dxa" w:w="454"/>
            <w:vAlign w:val="top"/>
          </w:tcPr>
          <w:p>
            <w:pPr>
              <w:spacing w:before="30" w:after="30" w:line="240" w:lineRule="auto"/>
              <w:jc w:val="left"/>
            </w:pPr>
            <w:r>
              <w:rPr>
                <w:rFonts w:ascii="Arial" w:hAnsi="Arial"/>
                <w:b w:val="0"/>
                <w:color w:val="1A1A1A"/>
                <w:sz w:val="18"/>
              </w:rPr>
              <w:t>2</w:t>
            </w:r>
          </w:p>
        </w:tc>
        <w:tc>
          <w:tcPr>
            <w:tcW w:type="dxa" w:w="1003"/>
            <w:vAlign w:val="top"/>
          </w:tcPr>
          <w:p>
            <w:pPr>
              <w:spacing w:before="30" w:after="30" w:line="240" w:lineRule="auto"/>
              <w:jc w:val="left"/>
            </w:pPr>
            <w:r>
              <w:rPr>
                <w:rFonts w:ascii="Arial" w:hAnsi="Arial"/>
                <w:b w:val="0"/>
                <w:color w:val="1A1A1A"/>
                <w:sz w:val="18"/>
              </w:rPr>
              <w:t>13/10/2026 09:20</w:t>
            </w:r>
          </w:p>
        </w:tc>
        <w:tc>
          <w:tcPr>
            <w:tcW w:type="dxa" w:w="1094"/>
            <w:vAlign w:val="top"/>
          </w:tcPr>
          <w:p>
            <w:pPr>
              <w:spacing w:before="30" w:after="30" w:line="240" w:lineRule="auto"/>
              <w:jc w:val="left"/>
            </w:pPr>
            <w:r>
              <w:rPr>
                <w:rFonts w:ascii="Arial" w:hAnsi="Arial"/>
                <w:b w:val="0"/>
                <w:color w:val="1A1A1A"/>
                <w:sz w:val="18"/>
              </w:rPr>
              <w:t>Condición no prevista</w:t>
            </w:r>
          </w:p>
        </w:tc>
        <w:tc>
          <w:tcPr>
            <w:tcW w:type="dxa" w:w="2551"/>
            <w:vAlign w:val="top"/>
          </w:tcPr>
          <w:p>
            <w:pPr>
              <w:spacing w:before="30" w:after="30" w:line="240" w:lineRule="auto"/>
              <w:jc w:val="left"/>
            </w:pPr>
            <w:r>
              <w:rPr>
                <w:rFonts w:ascii="Arial" w:hAnsi="Arial"/>
                <w:b w:val="0"/>
                <w:color w:val="1A1A1A"/>
                <w:sz w:val="18"/>
              </w:rPr>
              <w:t>Al abrir el suelo del baño aparece una tubería de agua de la vivienda que no figura en el plano y cruza el paso de la bañera</w:t>
            </w:r>
          </w:p>
        </w:tc>
        <w:tc>
          <w:tcPr>
            <w:tcW w:type="dxa" w:w="1185"/>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t>Se para el tajo de demolición y alicatado del baño, se cubre la tubería con protección rígida y se pasa el material por otro sitio</w:t>
            </w:r>
          </w:p>
        </w:tc>
        <w:tc>
          <w:tcPr>
            <w:tcW w:type="dxa" w:w="1644"/>
            <w:vAlign w:val="top"/>
          </w:tcPr>
          <w:p>
            <w:pPr>
              <w:spacing w:before="30" w:after="30" w:line="240" w:lineRule="auto"/>
              <w:jc w:val="left"/>
            </w:pPr>
            <w:r>
              <w:rPr>
                <w:rFonts w:ascii="Arial" w:hAnsi="Arial"/>
                <w:b w:val="0"/>
                <w:color w:val="1A1A1A"/>
                <w:sz w:val="18"/>
              </w:rPr>
              <w:t>Promotora y dirección de la obra, 09:35. Entidad competente: llamada a la mutua a las 10:15, referencia anotada en la hoja de comunicaciones</w:t>
            </w:r>
          </w:p>
        </w:tc>
        <w:tc>
          <w:tcPr>
            <w:tcW w:type="dxa" w:w="1003"/>
            <w:vAlign w:val="top"/>
          </w:tcPr>
          <w:p>
            <w:pPr>
              <w:spacing w:before="30" w:after="30" w:line="240" w:lineRule="auto"/>
              <w:jc w:val="left"/>
            </w:pPr>
            <w:r>
              <w:rPr>
                <w:rFonts w:ascii="Arial" w:hAnsi="Arial"/>
                <w:b w:val="0"/>
                <w:color w:val="1A1A1A"/>
                <w:sz w:val="18"/>
              </w:rPr>
              <w:t>13/10/2026 14:30</w:t>
            </w:r>
          </w:p>
        </w:tc>
        <w:tc>
          <w:tcPr>
            <w:tcW w:type="dxa" w:w="1826"/>
            <w:vAlign w:val="top"/>
          </w:tcPr>
          <w:p>
            <w:pPr>
              <w:spacing w:before="30" w:after="30" w:line="240" w:lineRule="auto"/>
              <w:jc w:val="left"/>
            </w:pPr>
            <w:r>
              <w:rPr>
                <w:rFonts w:ascii="Arial" w:hAnsi="Arial"/>
                <w:b w:val="0"/>
                <w:color w:val="1A1A1A"/>
                <w:sz w:val="18"/>
              </w:rPr>
              <w:t>Prueba de estanqueidad de la derivación y confirmación por escrito de la dirección facultativa</w:t>
            </w:r>
          </w:p>
        </w:tc>
        <w:tc>
          <w:tcPr>
            <w:tcW w:type="dxa" w:w="1094"/>
            <w:vAlign w:val="top"/>
          </w:tcPr>
          <w:p>
            <w:pPr>
              <w:spacing w:before="30" w:after="30" w:line="240" w:lineRule="auto"/>
              <w:jc w:val="left"/>
            </w:pPr>
            <w:r>
              <w:rPr>
                <w:rFonts w:ascii="Arial" w:hAnsi="Arial"/>
                <w:b w:val="0"/>
                <w:color w:val="1A1A1A"/>
                <w:sz w:val="18"/>
              </w:rPr>
              <w:t>Marta Ruiz Peña (coordinadora)</w:t>
            </w:r>
          </w:p>
        </w:tc>
        <w:tc>
          <w:tcPr>
            <w:tcW w:type="dxa" w:w="913"/>
            <w:vAlign w:val="top"/>
          </w:tcPr>
          <w:p>
            <w:pPr>
              <w:spacing w:before="30" w:after="30" w:line="240" w:lineRule="auto"/>
              <w:jc w:val="left"/>
            </w:pPr>
            <w:r>
              <w:rPr>
                <w:rFonts w:ascii="Arial" w:hAnsi="Arial"/>
                <w:b w:val="0"/>
                <w:color w:val="1A1A1A"/>
                <w:sz w:val="18"/>
              </w:rPr>
              <w:t>Cerrada</w:t>
            </w:r>
          </w:p>
        </w:tc>
      </w:tr>
      <w:tr>
        <w:trPr>
          <w:cantSplit/>
        </w:trPr>
        <w:tc>
          <w:tcPr>
            <w:tcW w:type="dxa" w:w="454"/>
            <w:vAlign w:val="top"/>
          </w:tcPr>
          <w:p>
            <w:pPr>
              <w:spacing w:before="30" w:after="30" w:line="240" w:lineRule="auto"/>
              <w:jc w:val="left"/>
            </w:pPr>
            <w:r>
              <w:rPr>
                <w:rFonts w:ascii="Arial" w:hAnsi="Arial"/>
                <w:b w:val="0"/>
                <w:color w:val="1A1A1A"/>
                <w:sz w:val="18"/>
              </w:rPr>
              <w:t>3</w:t>
            </w:r>
          </w:p>
        </w:tc>
        <w:tc>
          <w:tcPr>
            <w:tcW w:type="dxa" w:w="1003"/>
            <w:vAlign w:val="top"/>
          </w:tcPr>
          <w:p>
            <w:pPr>
              <w:spacing w:before="30" w:after="30" w:line="240" w:lineRule="auto"/>
              <w:jc w:val="left"/>
            </w:pPr>
            <w:r>
              <w:rPr>
                <w:rFonts w:ascii="Arial" w:hAnsi="Arial"/>
                <w:b w:val="0"/>
                <w:color w:val="1A1A1A"/>
                <w:sz w:val="18"/>
              </w:rPr>
              <w:t>14/10/2026 11:15</w:t>
            </w:r>
          </w:p>
        </w:tc>
        <w:tc>
          <w:tcPr>
            <w:tcW w:type="dxa" w:w="1094"/>
            <w:vAlign w:val="top"/>
          </w:tcPr>
          <w:p>
            <w:pPr>
              <w:spacing w:before="30" w:after="30" w:line="240" w:lineRule="auto"/>
              <w:jc w:val="left"/>
            </w:pPr>
            <w:r>
              <w:rPr>
                <w:rFonts w:ascii="Arial" w:hAnsi="Arial"/>
                <w:b w:val="0"/>
                <w:color w:val="1A1A1A"/>
                <w:sz w:val="18"/>
              </w:rPr>
              <w:t>Accidente con lesión</w:t>
            </w:r>
          </w:p>
        </w:tc>
        <w:tc>
          <w:tcPr>
            <w:tcW w:type="dxa" w:w="2551"/>
            <w:vAlign w:val="top"/>
          </w:tcPr>
          <w:p>
            <w:pPr>
              <w:spacing w:before="30" w:after="30" w:line="240" w:lineRule="auto"/>
              <w:jc w:val="left"/>
            </w:pPr>
            <w:r>
              <w:rPr>
                <w:rFonts w:ascii="Arial" w:hAnsi="Arial"/>
                <w:b w:val="0"/>
                <w:color w:val="1A1A1A"/>
                <w:sz w:val="18"/>
              </w:rPr>
              <w:t>Al cruzar el hueco abierto en el tabique del pasillo para pasar material, el operario pisa el canto y cae a distinto nivel. Contusión en la rodilla derecha</w:t>
            </w:r>
          </w:p>
        </w:tc>
        <w:tc>
          <w:tcPr>
            <w:tcW w:type="dxa" w:w="1185"/>
            <w:vAlign w:val="top"/>
          </w:tcPr>
          <w:p>
            <w:pPr>
              <w:spacing w:before="30" w:after="30" w:line="240" w:lineRule="auto"/>
              <w:jc w:val="left"/>
            </w:pPr>
            <w:r>
              <w:rPr>
                <w:rFonts w:ascii="Arial" w:hAnsi="Arial"/>
                <w:b w:val="0"/>
                <w:color w:val="1A1A1A"/>
                <w:sz w:val="18"/>
              </w:rPr>
              <w:t>Óscar Belmonte Ruiz (peón)</w:t>
            </w:r>
          </w:p>
        </w:tc>
        <w:tc>
          <w:tcPr>
            <w:tcW w:type="dxa" w:w="2370"/>
            <w:vAlign w:val="top"/>
          </w:tcPr>
          <w:p>
            <w:pPr>
              <w:spacing w:before="30" w:after="30" w:line="240" w:lineRule="auto"/>
              <w:jc w:val="left"/>
            </w:pPr>
            <w:r>
              <w:rPr>
                <w:rFonts w:ascii="Arial" w:hAnsi="Arial"/>
                <w:b w:val="0"/>
                <w:color w:val="1A1A1A"/>
                <w:sz w:val="18"/>
              </w:rPr>
              <w:t>Se para la obra, se asiste al lesionado y se coloca la tapa del hueco. El hueco se queda protegido y ya no se usa como paso de material</w:t>
            </w:r>
          </w:p>
        </w:tc>
        <w:tc>
          <w:tcPr>
            <w:tcW w:type="dxa" w:w="1644"/>
            <w:vAlign w:val="top"/>
          </w:tcPr>
          <w:p>
            <w:pPr>
              <w:spacing w:before="30" w:after="30" w:line="240" w:lineRule="auto"/>
              <w:jc w:val="left"/>
            </w:pPr>
            <w:r>
              <w:rPr>
                <w:rFonts w:ascii="Arial" w:hAnsi="Arial"/>
                <w:b w:val="0"/>
                <w:color w:val="1A1A1A"/>
                <w:sz w:val="18"/>
              </w:rPr>
              <w:t>Promotora y dirección de la obra, 11:25. Entidad competente: llamada a la mutua a las 11:40. Representación de los trabajadores, 12:15</w:t>
            </w:r>
          </w:p>
        </w:tc>
        <w:tc>
          <w:tcPr>
            <w:tcW w:type="dxa" w:w="1003"/>
            <w:vAlign w:val="top"/>
          </w:tcPr>
          <w:p>
            <w:pPr>
              <w:spacing w:before="30" w:after="30" w:line="240" w:lineRule="auto"/>
              <w:jc w:val="left"/>
            </w:pPr>
            <w:r>
              <w:rPr>
                <w:rFonts w:ascii="Arial" w:hAnsi="Arial"/>
                <w:b w:val="0"/>
                <w:color w:val="1A1A1A"/>
                <w:sz w:val="18"/>
              </w:rPr>
              <w:t>14/10/2026 16:00</w:t>
            </w:r>
          </w:p>
        </w:tc>
        <w:tc>
          <w:tcPr>
            <w:tcW w:type="dxa" w:w="1826"/>
            <w:vAlign w:val="top"/>
          </w:tcPr>
          <w:p>
            <w:pPr>
              <w:spacing w:before="30" w:after="30" w:line="240" w:lineRule="auto"/>
              <w:jc w:val="left"/>
            </w:pPr>
            <w:r>
              <w:rPr>
                <w:rFonts w:ascii="Arial" w:hAnsi="Arial"/>
                <w:b w:val="0"/>
                <w:color w:val="1A1A1A"/>
                <w:sz w:val="18"/>
              </w:rPr>
              <w:t>Tapa colocada y comprobada, paso de material sustituido por la puerta del comedor y nueva inspección de la zona</w:t>
            </w:r>
          </w:p>
        </w:tc>
        <w:tc>
          <w:tcPr>
            <w:tcW w:type="dxa" w:w="1094"/>
            <w:vAlign w:val="top"/>
          </w:tcPr>
          <w:p>
            <w:pPr>
              <w:spacing w:before="30" w:after="30" w:line="240" w:lineRule="auto"/>
              <w:jc w:val="left"/>
            </w:pPr>
            <w:r>
              <w:rPr>
                <w:rFonts w:ascii="Arial" w:hAnsi="Arial"/>
                <w:b w:val="0"/>
                <w:color w:val="1A1A1A"/>
                <w:sz w:val="18"/>
              </w:rPr>
              <w:t>Marta Ruiz Peña (coordinadora)</w:t>
            </w:r>
          </w:p>
        </w:tc>
        <w:tc>
          <w:tcPr>
            <w:tcW w:type="dxa" w:w="913"/>
            <w:vAlign w:val="top"/>
          </w:tcPr>
          <w:p>
            <w:pPr>
              <w:spacing w:before="30" w:after="30" w:line="240" w:lineRule="auto"/>
              <w:jc w:val="left"/>
            </w:pPr>
            <w:r>
              <w:rPr>
                <w:rFonts w:ascii="Arial" w:hAnsi="Arial"/>
                <w:b w:val="0"/>
                <w:color w:val="1A1A1A"/>
                <w:sz w:val="18"/>
              </w:rPr>
              <w:t>Cerrada</w:t>
            </w:r>
          </w:p>
        </w:tc>
      </w:tr>
    </w:tbl>
    <w:p>
      <w:pPr>
        <w:spacing w:after="160" w:before="0" w:line="264" w:lineRule="auto"/>
      </w:pPr>
      <w:r>
        <w:rPr>
          <w:rFonts w:ascii="Arial" w:hAnsi="Arial"/>
          <w:b w:val="0"/>
          <w:i/>
          <w:color w:val="1A1A1A"/>
          <w:sz w:val="17"/>
        </w:rPr>
        <w:t>La fila 3 tiene su Continuity ficha abierta en las plantillas de investigación (P1 a P7). En el campo «Tipo» se anota lo que se ve, no la causa: la causa se establece en la investigación.</w:t>
      </w:r>
    </w:p>
    <w:p>
      <w:pPr>
        <w:keepNext/>
        <w:spacing w:after="40" w:before="0" w:line="264" w:lineRule="auto"/>
      </w:pPr>
      <w:r>
        <w:rPr>
          <w:rFonts w:ascii="Arial" w:hAnsi="Arial"/>
          <w:b/>
          <w:i w:val="0"/>
          <w:color w:val="1A1A1A"/>
          <w:sz w:val="19"/>
        </w:rPr>
        <w:t>E.2. Seguimiento de lo derivado de cada incidencia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1939"/>
            <w:vAlign w:val="top"/>
            <w:shd w:val="clear" w:color="auto" w:fill="F2F2F2"/>
          </w:tcPr>
          <w:p>
            <w:pPr>
              <w:spacing w:before="30" w:after="30" w:line="240" w:lineRule="auto"/>
              <w:jc w:val="left"/>
            </w:pPr>
            <w:r>
              <w:rPr>
                <w:rFonts w:ascii="Arial" w:hAnsi="Arial"/>
                <w:b/>
                <w:color w:val="1A1A1A"/>
                <w:sz w:val="18"/>
              </w:rPr>
              <w:t>Nº de incidencia</w:t>
            </w:r>
          </w:p>
          <w:p>
            <w:pPr>
              <w:spacing w:after="0"/>
            </w:pPr>
            <w:r>
              <w:rPr>
                <w:i/>
                <w:color w:val="808080"/>
                <w:sz w:val="14"/>
              </w:rPr>
              <w:t>obligatorio</w:t>
            </w:r>
          </w:p>
        </w:tc>
        <w:tc>
          <w:tcPr>
            <w:tcW w:type="dxa" w:w="5822"/>
            <w:vAlign w:val="top"/>
            <w:shd w:val="clear" w:color="auto" w:fill="F2F2F2"/>
          </w:tcPr>
          <w:p>
            <w:pPr>
              <w:spacing w:before="30" w:after="30" w:line="240" w:lineRule="auto"/>
              <w:jc w:val="left"/>
            </w:pPr>
            <w:r>
              <w:rPr>
                <w:rFonts w:ascii="Arial" w:hAnsi="Arial"/>
                <w:b/>
                <w:color w:val="1A1A1A"/>
                <w:sz w:val="18"/>
              </w:rPr>
              <w:t>Acción derivada</w:t>
            </w:r>
          </w:p>
          <w:p>
            <w:pPr>
              <w:spacing w:after="0"/>
            </w:pPr>
            <w:r>
              <w:rPr>
                <w:i/>
                <w:color w:val="808080"/>
                <w:sz w:val="14"/>
              </w:rPr>
              <w:t>obligatorio</w:t>
            </w:r>
          </w:p>
        </w:tc>
        <w:tc>
          <w:tcPr>
            <w:tcW w:type="dxa" w:w="2716"/>
            <w:vAlign w:val="top"/>
            <w:shd w:val="clear" w:color="auto" w:fill="F2F2F2"/>
          </w:tcPr>
          <w:p>
            <w:pPr>
              <w:spacing w:before="30" w:after="30" w:line="240" w:lineRule="auto"/>
              <w:jc w:val="left"/>
            </w:pPr>
            <w:r>
              <w:rPr>
                <w:rFonts w:ascii="Arial" w:hAnsi="Arial"/>
                <w:b/>
                <w:color w:val="1A1A1A"/>
                <w:sz w:val="18"/>
              </w:rPr>
              <w:t>Dónde se registra</w:t>
            </w:r>
          </w:p>
          <w:p>
            <w:pPr>
              <w:spacing w:after="0"/>
            </w:pPr>
            <w:r>
              <w:rPr>
                <w:i/>
                <w:color w:val="808080"/>
                <w:sz w:val="14"/>
              </w:rPr>
              <w:t>obligatorio</w:t>
            </w:r>
          </w:p>
        </w:tc>
        <w:tc>
          <w:tcPr>
            <w:tcW w:type="dxa" w:w="2716"/>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939"/>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r>
      <w:tr>
        <w:trPr>
          <w:cantSplit/>
        </w:trPr>
        <w:tc>
          <w:tcPr>
            <w:tcW w:type="dxa" w:w="1939"/>
            <w:vAlign w:val="top"/>
          </w:tcPr>
          <w:p>
            <w:pPr>
              <w:spacing w:before="30" w:after="30" w:line="240" w:lineRule="auto"/>
              <w:jc w:val="left"/>
            </w:pPr>
            <w:r>
              <w:rPr>
                <w:rFonts w:ascii="Arial" w:hAnsi="Arial"/>
                <w:b w:val="0"/>
                <w:color w:val="1A1A1A"/>
                <w:sz w:val="18"/>
              </w:rPr>
              <w:t>2</w:t>
            </w:r>
          </w:p>
        </w:tc>
        <w:tc>
          <w:tcPr>
            <w:tcW w:type="dxa" w:w="5822"/>
            <w:vAlign w:val="top"/>
          </w:tcPr>
          <w:p>
            <w:pPr>
              <w:spacing w:before="30" w:after="30" w:line="240" w:lineRule="auto"/>
              <w:jc w:val="left"/>
            </w:pPr>
            <w:r>
              <w:rPr>
                <w:rFonts w:ascii="Arial" w:hAnsi="Arial"/>
                <w:b w:val="0"/>
                <w:color w:val="1A1A1A"/>
                <w:sz w:val="18"/>
              </w:rPr>
              <w:t>Prueba de estanqueidad de la derivación de agua antes de alicatar</w:t>
            </w:r>
          </w:p>
        </w:tc>
        <w:tc>
          <w:tcPr>
            <w:tcW w:type="dxa" w:w="2716"/>
            <w:vAlign w:val="top"/>
          </w:tcPr>
          <w:p>
            <w:pPr>
              <w:spacing w:before="30" w:after="30" w:line="240" w:lineRule="auto"/>
              <w:jc w:val="left"/>
            </w:pPr>
            <w:r>
              <w:rPr>
                <w:rFonts w:ascii="Arial" w:hAnsi="Arial"/>
                <w:b w:val="0"/>
                <w:color w:val="1A1A1A"/>
                <w:sz w:val="18"/>
              </w:rPr>
              <w:t>Anexo B, fila 7</w:t>
            </w:r>
          </w:p>
        </w:tc>
        <w:tc>
          <w:tcPr>
            <w:tcW w:type="dxa" w:w="2716"/>
            <w:vAlign w:val="top"/>
          </w:tcPr>
          <w:p>
            <w:pPr>
              <w:spacing w:before="30" w:after="30" w:line="240" w:lineRule="auto"/>
              <w:jc w:val="left"/>
            </w:pPr>
            <w:r>
              <w:rPr>
                <w:rFonts w:ascii="Arial" w:hAnsi="Arial"/>
                <w:b w:val="0"/>
                <w:color w:val="1A1A1A"/>
                <w:sz w:val="18"/>
              </w:rPr>
              <w:t>Instalaciones Pérez S.L.</w:t>
            </w:r>
          </w:p>
        </w:tc>
        <w:tc>
          <w:tcPr>
            <w:tcW w:type="dxa" w:w="1939"/>
            <w:vAlign w:val="top"/>
          </w:tcPr>
          <w:p>
            <w:pPr>
              <w:spacing w:before="30" w:after="30" w:line="240" w:lineRule="auto"/>
              <w:jc w:val="left"/>
            </w:pPr>
            <w:r>
              <w:rPr>
                <w:rFonts w:ascii="Arial" w:hAnsi="Arial"/>
                <w:b w:val="0"/>
                <w:color w:val="1A1A1A"/>
                <w:sz w:val="18"/>
              </w:rPr>
              <w:t>13/10/2026</w:t>
            </w:r>
          </w:p>
        </w:tc>
      </w:tr>
      <w:tr>
        <w:trPr>
          <w:cantSplit/>
        </w:trPr>
        <w:tc>
          <w:tcPr>
            <w:tcW w:type="dxa" w:w="1939"/>
            <w:vAlign w:val="top"/>
          </w:tcPr>
          <w:p>
            <w:pPr>
              <w:spacing w:before="30" w:after="30" w:line="240" w:lineRule="auto"/>
              <w:jc w:val="left"/>
            </w:pPr>
            <w:r>
              <w:rPr>
                <w:rFonts w:ascii="Arial" w:hAnsi="Arial"/>
                <w:b w:val="0"/>
                <w:color w:val="1A1A1A"/>
                <w:sz w:val="18"/>
              </w:rPr>
              <w:t>3</w:t>
            </w:r>
          </w:p>
        </w:tc>
        <w:tc>
          <w:tcPr>
            <w:tcW w:type="dxa" w:w="5822"/>
            <w:vAlign w:val="top"/>
          </w:tcPr>
          <w:p>
            <w:pPr>
              <w:spacing w:before="30" w:after="30" w:line="240" w:lineRule="auto"/>
              <w:jc w:val="left"/>
            </w:pPr>
            <w:r>
              <w:rPr>
                <w:rFonts w:ascii="Arial" w:hAnsi="Arial"/>
                <w:b w:val="0"/>
                <w:color w:val="1A1A1A"/>
                <w:sz w:val="18"/>
              </w:rPr>
              <w:t>Investigación preventiva del accidente con clasificación de evidencias</w:t>
            </w:r>
          </w:p>
        </w:tc>
        <w:tc>
          <w:tcPr>
            <w:tcW w:type="dxa" w:w="2716"/>
            <w:vAlign w:val="top"/>
          </w:tcPr>
          <w:p>
            <w:pPr>
              <w:spacing w:before="30" w:after="30" w:line="240" w:lineRule="auto"/>
              <w:jc w:val="left"/>
            </w:pPr>
            <w:r>
              <w:rPr>
                <w:rFonts w:ascii="Arial" w:hAnsi="Arial"/>
                <w:b w:val="0"/>
                <w:color w:val="1A1A1A"/>
                <w:sz w:val="18"/>
              </w:rPr>
              <w:t>Plantillas P1 a P7</w:t>
            </w:r>
          </w:p>
        </w:tc>
        <w:tc>
          <w:tcPr>
            <w:tcW w:type="dxa" w:w="2716"/>
            <w:vAlign w:val="top"/>
          </w:tcPr>
          <w:p>
            <w:pPr>
              <w:spacing w:before="30" w:after="30" w:line="240" w:lineRule="auto"/>
              <w:jc w:val="left"/>
            </w:pPr>
            <w:r>
              <w:rPr>
                <w:rFonts w:ascii="Arial" w:hAnsi="Arial"/>
                <w:b w:val="0"/>
                <w:color w:val="1A1A1A"/>
                <w:sz w:val="18"/>
              </w:rPr>
              <w:t>Marta Ruiz Peña</w:t>
            </w:r>
          </w:p>
        </w:tc>
        <w:tc>
          <w:tcPr>
            <w:tcW w:type="dxa" w:w="1939"/>
            <w:vAlign w:val="top"/>
          </w:tcPr>
          <w:p>
            <w:pPr>
              <w:spacing w:before="30" w:after="30" w:line="240" w:lineRule="auto"/>
              <w:jc w:val="left"/>
            </w:pPr>
            <w:r>
              <w:rPr>
                <w:rFonts w:ascii="Arial" w:hAnsi="Arial"/>
                <w:b w:val="0"/>
                <w:color w:val="1A1A1A"/>
                <w:sz w:val="18"/>
              </w:rPr>
              <w:t>16/10/2026</w:t>
            </w:r>
          </w:p>
        </w:tc>
      </w:tr>
      <w:tr>
        <w:trPr>
          <w:cantSplit/>
        </w:trPr>
        <w:tc>
          <w:tcPr>
            <w:tcW w:type="dxa" w:w="1939"/>
            <w:vAlign w:val="top"/>
          </w:tcPr>
          <w:p>
            <w:pPr>
              <w:spacing w:before="30" w:after="30" w:line="240" w:lineRule="auto"/>
              <w:jc w:val="left"/>
            </w:pPr>
            <w:r>
              <w:rPr>
                <w:rFonts w:ascii="Arial" w:hAnsi="Arial"/>
                <w:b w:val="0"/>
                <w:color w:val="1A1A1A"/>
                <w:sz w:val="18"/>
              </w:rPr>
              <w:t>3</w:t>
            </w:r>
          </w:p>
        </w:tc>
        <w:tc>
          <w:tcPr>
            <w:tcW w:type="dxa" w:w="5822"/>
            <w:vAlign w:val="top"/>
          </w:tcPr>
          <w:p>
            <w:pPr>
              <w:spacing w:before="30" w:after="30" w:line="240" w:lineRule="auto"/>
              <w:jc w:val="left"/>
            </w:pPr>
            <w:r>
              <w:rPr>
                <w:rFonts w:ascii="Arial" w:hAnsi="Arial"/>
                <w:b w:val="0"/>
                <w:color w:val="1A1A1A"/>
                <w:sz w:val="18"/>
              </w:rPr>
              <w:t>Sustituir el paso de material por el hueco abierto y señalizar el paso real</w:t>
            </w:r>
          </w:p>
        </w:tc>
        <w:tc>
          <w:tcPr>
            <w:tcW w:type="dxa" w:w="2716"/>
            <w:vAlign w:val="top"/>
          </w:tcPr>
          <w:p>
            <w:pPr>
              <w:spacing w:before="30" w:after="30" w:line="240" w:lineRule="auto"/>
              <w:jc w:val="left"/>
            </w:pPr>
            <w:r>
              <w:rPr>
                <w:rFonts w:ascii="Arial" w:hAnsi="Arial"/>
                <w:b w:val="0"/>
                <w:color w:val="1A1A1A"/>
                <w:sz w:val="18"/>
              </w:rPr>
              <w:t>Anexo B, filas 4 y 7</w:t>
            </w:r>
          </w:p>
        </w:tc>
        <w:tc>
          <w:tcPr>
            <w:tcW w:type="dxa" w:w="2716"/>
            <w:vAlign w:val="top"/>
          </w:tcPr>
          <w:p>
            <w:pPr>
              <w:spacing w:before="30" w:after="30" w:line="240" w:lineRule="auto"/>
              <w:jc w:val="left"/>
            </w:pPr>
            <w:r>
              <w:rPr>
                <w:rFonts w:ascii="Arial" w:hAnsi="Arial"/>
                <w:b w:val="0"/>
                <w:color w:val="1A1A1A"/>
                <w:sz w:val="18"/>
              </w:rPr>
              <w:t>Jorge Andrés Simón</w:t>
            </w:r>
          </w:p>
        </w:tc>
        <w:tc>
          <w:tcPr>
            <w:tcW w:type="dxa" w:w="1939"/>
            <w:vAlign w:val="top"/>
          </w:tcPr>
          <w:p>
            <w:pPr>
              <w:spacing w:before="30" w:after="30" w:line="240" w:lineRule="auto"/>
              <w:jc w:val="left"/>
            </w:pPr>
            <w:r>
              <w:rPr>
                <w:rFonts w:ascii="Arial" w:hAnsi="Arial"/>
                <w:b w:val="0"/>
                <w:color w:val="1A1A1A"/>
                <w:sz w:val="18"/>
              </w:rPr>
              <w:t>14/10/2026</w:t>
            </w:r>
          </w:p>
        </w:tc>
      </w:tr>
    </w:tbl>
    <w:p>
      <w:pPr>
        <w:spacing w:after="40" w:before="0" w:line="264" w:lineRule="auto"/>
      </w:pPr>
      <w:r>
        <w:rPr>
          <w:rFonts w:ascii="Arial" w:hAnsi="Arial"/>
          <w:b w:val="0"/>
          <w:i w:val="0"/>
          <w:color w:val="1A1A1A"/>
          <w:sz w:val="8"/>
        </w:rPr>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Anexo E · Registro de incidencias y paralización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