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30"/>
        </w:rPr>
        <w:t>Anexo G — Ficha de análisis de requerimientos CAE</w:t>
      </w:r>
    </w:p>
    <w:p>
      <w:pPr>
        <w:spacing w:after="200" w:before="0" w:line="264" w:lineRule="auto"/>
      </w:pPr>
      <w:r>
        <w:rPr>
          <w:rFonts w:ascii="Arial" w:hAnsi="Arial"/>
          <w:b w:val="0"/>
          <w:i/>
          <w:color w:val="1A1A1A"/>
          <w:sz w:val="19"/>
        </w:rPr>
        <w:t>Instrumento de trabajo · Voz de Trinchera · Libro 3</w:t>
      </w:r>
    </w:p>
    <w:p>
      <w:pPr>
        <w:keepNext/>
        <w:spacing w:after="60" w:before="40" w:line="264" w:lineRule="auto"/>
      </w:pPr>
      <w:r>
        <w:rPr>
          <w:rFonts w:ascii="Arial" w:hAnsi="Arial"/>
          <w:b/>
          <w:i w:val="0"/>
          <w:color w:val="1A1A1A"/>
          <w:sz w:val="23"/>
        </w:rPr>
        <w:t>Qué es y para qué sirve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7569"/>
        <w:gridCol w:w="7569"/>
      </w:tblGrid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Qué es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Una hoja de trabajo para responder a lo que pide otra empresa. Clasifica cada petición, dice de dónde sale, qué se entrega y qué se propone en su lugar.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Para qué sirve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Evitar las dos malas respuestas: enviar todo sin mirar y negarse sin fundamento. La ficha obliga a mirar cada petición y a dejar escrito el razonamiento, que es lo que después sostiene una decisión.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Quién puede utilizarla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Quien lleva la coordinación de actividades en la obra y responde. En una obra pequeña suele ser el técnico de prevención o el encargado; si es una empresa de servicios, quien estédesignado en el documento de coordinación.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Cuándo es pertinente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Cada vez que llega una petición documental o de información de otra empresa que concurre en la obra, y también al abrir la obra, para dejar constancia de los medios de coordinación que se han adoptado.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Qué información registra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Los medios de coordinación en uso, y para cada petición: qué se pide, qué riesgo u obligación pretende cubrir, qué norma o cláusula se invoca, cómo se clasifica la petición, quién la resuelve, con qué fecha y caducidad, qué alcance tiene, qué se responde y qué alternativa se ofrece.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Qué límites tiene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Una repetición no es por sí sola una petición ilegal. Y un documento pedido no es automáticamente una obligación legal. Lo que se hace aquí es escribir el motivo de la respuesta, sea sí o sea no. Enviar documentación con datos personales de trabajadores que no hacen falta tiene coste y problemas. La proportionality se decide caso a caso. El análisis de esta ficha no sustituye la coordinación en campo. Un certificado puede estar al día y el operario seguir sin saber el riesgo del local en el que entra. Responder «no» a una petición con fundamento escrito no es un problema. Responder «no» a todo es un problema, y esta ficha lo hace visible.</w:t>
            </w:r>
          </w:p>
        </w:tc>
      </w:tr>
    </w:tbl>
    <w:p>
      <w:pPr>
        <w:keepNext/>
        <w:spacing w:after="60" w:before="200" w:line="264" w:lineRule="auto"/>
      </w:pPr>
      <w:r>
        <w:rPr>
          <w:rFonts w:ascii="Arial" w:hAnsi="Arial"/>
          <w:b/>
          <w:i w:val="0"/>
          <w:color w:val="1A1A1A"/>
          <w:sz w:val="23"/>
        </w:rPr>
        <w:t>Comprobaciones adicionales que conviene hacer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los medios de coordinación elegidos son razonables para la obra: hay que atender a la peligrosidad de las actividades, al número de trabajadores y a la duración de la concurrencia (Real Decreto 171/2004).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la información sobre los riesgos llega a los trabajadores de cada empresa y no solo a la dirección (art. 18 de la Ley 31/1995).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las medidas acordadas se aplican y se comprueban, y no se quedan en el acta (arts. 7 y 11 del Real Decreto 1627/1997).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• Que se ha informado a la representación de los trabajadores sobre la coordinación, cuando existe (arts. 33 y 36 de la Ley 31/1995).</w:t>
      </w:r>
    </w:p>
    <w:p>
      <w:pPr>
        <w:keepNext/>
        <w:spacing w:after="60" w:before="200" w:line="264" w:lineRule="auto"/>
      </w:pPr>
      <w:r>
        <w:rPr>
          <w:rFonts w:ascii="Arial" w:hAnsi="Arial"/>
          <w:b/>
          <w:i w:val="0"/>
          <w:color w:val="1A1A1A"/>
          <w:sz w:val="23"/>
        </w:rPr>
        <w:t>Cómo se rellena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1. Empieza por los medios de coordinación que ya están funcionando. Si solo hay intercambio de documentos, escríbelo: es un dato, y saberlo es lo primero.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2. Clasifica cada petición con una de las seis categorías de la columna correspondiente. Es el trabajo de verdad de esta ficha.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3. En «Respuesta», escribe qué se entrega y cuándo. En «Alternativa propuesta», qué se ofrece en su lugar si la respuesta es parcial o negativa.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4. En «Alcance real y datos personales», di qué contiene el documento y a qué personas afecta. Sin ese dato no se puede valorar la proporcionalidad.</w:t>
      </w:r>
    </w:p>
    <w:p>
      <w:pPr>
        <w:spacing w:after="40" w:line="264" w:lineRule="auto"/>
        <w:ind w:left="567" w:hanging="227"/>
      </w:pPr>
      <w:r>
        <w:rPr>
          <w:rFonts w:ascii="Arial" w:hAnsi="Arial"/>
          <w:color w:val="1A1A1A"/>
          <w:sz w:val="19"/>
        </w:rPr>
        <w:t>5. Si has pedido algo a la otra empresa, esa petición también tiene fila. La ficha es recíproca o no sirve.</w:t>
      </w:r>
    </w:p>
    <w:p>
      <w:r>
        <w:br w:type="page"/>
      </w:r>
    </w:p>
    <w:p>
      <w:pPr>
        <w:keepNext/>
        <w:spacing w:after="60" w:before="0" w:line="264" w:lineRule="auto"/>
      </w:pPr>
      <w:r>
        <w:rPr>
          <w:rFonts w:ascii="Arial" w:hAnsi="Arial"/>
          <w:b/>
          <w:i w:val="0"/>
          <w:color w:val="1A1A1A"/>
          <w:sz w:val="23"/>
        </w:rPr>
        <w:t>Modelo para cumplimentar</w:t>
      </w:r>
    </w:p>
    <w:p>
      <w:pPr>
        <w:spacing w:after="160" w:before="0" w:line="264" w:lineRule="auto"/>
      </w:pPr>
      <w:r>
        <w:rPr>
          <w:rFonts w:ascii="Arial" w:hAnsi="Arial"/>
          <w:b w:val="0"/>
          <w:i/>
          <w:color w:val="1A1A1A"/>
          <w:sz w:val="19"/>
        </w:rPr>
        <w:t>Las tablas siguientes están vacías a propósito. Las líneas y los encabezados son los mismos que verás en el Excel y en el libro: si cambia algo, cambia en los tres sitios.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Identificación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7569"/>
        <w:gridCol w:w="7569"/>
      </w:tblGrid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Dirección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Empresa que solicita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Empresa que responde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la solicitud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respuesta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Persona que analiza el requerimiento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Tipo de requerimiento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Norma o cláusula invocada por quien solicita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Contexto de la obra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</w:tbl>
    <w:p>
      <w:pPr>
        <w:spacing w:after="8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G.1. Medios de coordinación adoptados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468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Medio de coordinación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80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Aplicado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80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52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Verificado por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432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Observaciones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opcional</w:t>
            </w:r>
          </w:p>
        </w:tc>
      </w:tr>
      <w:tr>
        <w:trPr>
          <w:cantSplit/>
        </w:trPr>
        <w:tc>
          <w:tcPr>
            <w:tcW w:type="dxa" w:w="46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Sí · No</w:t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252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3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46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Sí · No</w:t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252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3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46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Sí · No</w:t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252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3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46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Sí · No</w:t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252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3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46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Sí · No</w:t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252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3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46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Sí · No</w:t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252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3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G.2. Peticiones analizadas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44" w:type="dxa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rPr>
          <w:tblHeader w:val="true"/>
          <w:cantSplit/>
        </w:trPr>
        <w:tc>
          <w:tcPr>
            <w:tcW w:type="dxa" w:w="37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939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Documento o información solicitada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63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Riesgo u obligación que pretende cubrir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34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Norma o cláusula invocada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34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Clasificación del requerimiento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04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 de emitirlo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7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emisión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7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Caducidad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opcional</w:t>
            </w:r>
          </w:p>
        </w:tc>
        <w:tc>
          <w:tcPr>
            <w:tcW w:type="dxa" w:w="163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Alcance real y datos personales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939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Respuesta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63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Alternativa propuesta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opcional</w:t>
            </w:r>
          </w:p>
        </w:tc>
        <w:tc>
          <w:tcPr>
            <w:tcW w:type="dxa" w:w="7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</w:tr>
      <w:tr>
        <w:trPr>
          <w:cantSplit/>
        </w:trPr>
        <w:tc>
          <w:tcPr>
            <w:tcW w:type="dxa" w:w="37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Fundamento normativo directo · Acreditación de obligación general · Medida organizativa del centro · Requisito contractual o de acceso · Duplicidad o petición no aplicable · Dato excesivo o sensible</w:t>
            </w:r>
          </w:p>
        </w:tc>
        <w:tc>
          <w:tcPr>
            <w:tcW w:type="dxa" w:w="10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Cerrada</w:t>
            </w:r>
          </w:p>
        </w:tc>
      </w:tr>
      <w:tr>
        <w:trPr>
          <w:cantSplit/>
        </w:trPr>
        <w:tc>
          <w:tcPr>
            <w:tcW w:type="dxa" w:w="37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Fundamento normativo directo · Acreditación de obligación general · Medida organizativa del centro · Requisito contractual o de acceso · Duplicidad o petición no aplicable · Dato excesivo o sensible</w:t>
            </w:r>
          </w:p>
        </w:tc>
        <w:tc>
          <w:tcPr>
            <w:tcW w:type="dxa" w:w="10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Cerrada</w:t>
            </w:r>
          </w:p>
        </w:tc>
      </w:tr>
      <w:tr>
        <w:trPr>
          <w:cantSplit/>
        </w:trPr>
        <w:tc>
          <w:tcPr>
            <w:tcW w:type="dxa" w:w="37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Fundamento normativo directo · Acreditación de obligación general · Medida organizativa del centro · Requisito contractual o de acceso · Duplicidad o petición no aplicable · Dato excesivo o sensible</w:t>
            </w:r>
          </w:p>
        </w:tc>
        <w:tc>
          <w:tcPr>
            <w:tcW w:type="dxa" w:w="10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Cerrada</w:t>
            </w:r>
          </w:p>
        </w:tc>
      </w:tr>
      <w:tr>
        <w:trPr>
          <w:cantSplit/>
        </w:trPr>
        <w:tc>
          <w:tcPr>
            <w:tcW w:type="dxa" w:w="37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Fundamento normativo directo · Acreditación de obligación general · Medida organizativa del centro · Requisito contractual o de acceso · Duplicidad o petición no aplicable · Dato excesivo o sensible</w:t>
            </w:r>
          </w:p>
        </w:tc>
        <w:tc>
          <w:tcPr>
            <w:tcW w:type="dxa" w:w="10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Cerrada</w:t>
            </w:r>
          </w:p>
        </w:tc>
      </w:tr>
      <w:tr>
        <w:trPr>
          <w:cantSplit/>
        </w:trPr>
        <w:tc>
          <w:tcPr>
            <w:tcW w:type="dxa" w:w="37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Fundamento normativo directo · Acreditación de obligación general · Medida organizativa del centro · Requisito contractual o de acceso · Duplicidad o petición no aplicable · Dato excesivo o sensible</w:t>
            </w:r>
          </w:p>
        </w:tc>
        <w:tc>
          <w:tcPr>
            <w:tcW w:type="dxa" w:w="10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Cerrada</w:t>
            </w:r>
          </w:p>
        </w:tc>
      </w:tr>
      <w:tr>
        <w:trPr>
          <w:cantSplit/>
        </w:trPr>
        <w:tc>
          <w:tcPr>
            <w:tcW w:type="dxa" w:w="37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Fundamento normativo directo · Acreditación de obligación general · Medida organizativa del centro · Requisito contractual o de acceso · Duplicidad o petición no aplicable · Dato excesivo o sensible</w:t>
            </w:r>
          </w:p>
        </w:tc>
        <w:tc>
          <w:tcPr>
            <w:tcW w:type="dxa" w:w="10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Cerrada</w:t>
            </w:r>
          </w:p>
        </w:tc>
      </w:tr>
      <w:tr>
        <w:trPr>
          <w:cantSplit/>
        </w:trPr>
        <w:tc>
          <w:tcPr>
            <w:tcW w:type="dxa" w:w="37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Fundamento normativo directo · Acreditación de obligación general · Medida organizativa del centro · Requisito contractual o de acceso · Duplicidad o petición no aplicable · Dato excesivo o sensible</w:t>
            </w:r>
          </w:p>
        </w:tc>
        <w:tc>
          <w:tcPr>
            <w:tcW w:type="dxa" w:w="10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▾ Abierta · Cerrada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G.3. Comunicaciones enviadas al solicitante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44" w:type="dxa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18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217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Canal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217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Referencia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opcional</w:t>
            </w:r>
          </w:p>
        </w:tc>
        <w:tc>
          <w:tcPr>
            <w:tcW w:type="dxa" w:w="627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Motivo de la respuesta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585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Recibido por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</w:tr>
      <w:tr>
        <w:trPr>
          <w:cantSplit/>
        </w:trPr>
        <w:tc>
          <w:tcPr>
            <w:tcW w:type="dxa" w:w="18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221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21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627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8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18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221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21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627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8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  <w:tr>
        <w:trPr>
          <w:cantSplit/>
        </w:trPr>
        <w:tc>
          <w:tcPr>
            <w:tcW w:type="dxa" w:w="18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dd/mm/aaaa</w:t>
            </w:r>
          </w:p>
        </w:tc>
        <w:tc>
          <w:tcPr>
            <w:tcW w:type="dxa" w:w="221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21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627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8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r>
        <w:br w:type="page"/>
      </w:r>
    </w:p>
    <w:p>
      <w:pPr>
        <w:keepNext/>
        <w:spacing w:after="60" w:before="0" w:line="264" w:lineRule="auto"/>
      </w:pPr>
      <w:r>
        <w:rPr>
          <w:rFonts w:ascii="Arial" w:hAnsi="Arial"/>
          <w:b/>
          <w:i w:val="0"/>
          <w:color w:val="1A1A1A"/>
          <w:sz w:val="23"/>
        </w:rPr>
        <w:t>Ejemplo cumplimentado</w:t>
      </w:r>
    </w:p>
    <w:p>
      <w:pPr>
        <w:spacing w:after="160" w:before="0" w:line="264" w:lineRule="auto"/>
      </w:pPr>
      <w:r>
        <w:rPr>
          <w:rFonts w:ascii="Arial" w:hAnsi="Arial"/>
          <w:b w:val="0"/>
          <w:i/>
          <w:color w:val="1A1A1A"/>
          <w:sz w:val="19"/>
        </w:rPr>
        <w:t>Datos de un caso inventado, con nombres y cifras que no se corresponden con ninguna obra real. Sirven para ver el nivel de detalle útil, no como referencia técnica.</w:t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Identificación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7569"/>
        <w:gridCol w:w="7569"/>
      </w:tblGrid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Reforma de baño en vivienda habitada (Promotion Bath S.L.)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Dirección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Calle Membrillar 14, 3.º B, 28004 Madrid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Empresa que solicita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Instalaciones Pérez S.L.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Empresa que responde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Reformas Obregón S.L.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la solicitud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05/10/2026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respuesta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07/10/2026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Persona que analiza el requerimiento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Marta Ruiz Peña (coordinadora de seguridad y salud de la obra)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Tipo de requerimiento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Petición documental, con una parte de información y una de requisito de acceso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Norma o cláusula invocada por quien solicita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Art. 24 de la Ley 31/1995 y Real Decreto 171/2004; cláusula 4 del contrato de subcontratación</w:t>
            </w:r>
          </w:p>
        </w:tc>
      </w:tr>
      <w:tr>
        <w:trPr>
          <w:cantSplit/>
        </w:trPr>
        <w:tc>
          <w:tcPr>
            <w:tcW w:type="dxa" w:w="29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Contexto de la obra</w:t>
            </w:r>
          </w:p>
        </w:tc>
        <w:tc>
          <w:tcPr>
            <w:tcW w:type="dxa" w:w="1218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Reforma de baño en vivienda habitada. Cuatro semanas de obra, tres empresas y un autónomo</w:t>
            </w:r>
          </w:p>
        </w:tc>
      </w:tr>
    </w:tbl>
    <w:p>
      <w:pPr>
        <w:spacing w:after="8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G.1. Medios de coordinación adoptados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38" w:type="dxa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468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Medio de coordinación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80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Aplicado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80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52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Verificado por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432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Observaciones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opcional</w:t>
            </w:r>
          </w:p>
        </w:tc>
      </w:tr>
      <w:tr>
        <w:trPr>
          <w:cantSplit/>
        </w:trPr>
        <w:tc>
          <w:tcPr>
            <w:tcW w:type="dxa" w:w="46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Reunión de coordinación en obra</w:t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Sí</w:t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05/10/2026</w:t>
            </w:r>
          </w:p>
        </w:tc>
        <w:tc>
          <w:tcPr>
            <w:tcW w:type="dxa" w:w="252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Marta Ruiz Peña</w:t>
            </w:r>
          </w:p>
        </w:tc>
        <w:tc>
          <w:tcPr>
            <w:tcW w:type="dxa" w:w="43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Acta de la reunión inicial (Anexo D)</w:t>
            </w:r>
          </w:p>
        </w:tc>
      </w:tr>
      <w:tr>
        <w:trPr>
          <w:cantSplit/>
        </w:trPr>
        <w:tc>
          <w:tcPr>
            <w:tcW w:type="dxa" w:w="46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Instrucciones escritas a cada empresa</w:t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Sí</w:t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05/10/2026</w:t>
            </w:r>
          </w:p>
        </w:tc>
        <w:tc>
          <w:tcPr>
            <w:tcW w:type="dxa" w:w="252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Jorge Andrés Simón</w:t>
            </w:r>
          </w:p>
        </w:tc>
        <w:tc>
          <w:tcPr>
            <w:tcW w:type="dxa" w:w="43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Hoja de instrucciones de la obra, entregada y firmada</w:t>
            </w:r>
          </w:p>
        </w:tc>
      </w:tr>
      <w:tr>
        <w:trPr>
          <w:cantSplit/>
        </w:trPr>
        <w:tc>
          <w:tcPr>
            <w:tcW w:type="dxa" w:w="46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Planificación de secuencias entre oficios</w:t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Sí</w:t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05/10/2026</w:t>
            </w:r>
          </w:p>
        </w:tc>
        <w:tc>
          <w:tcPr>
            <w:tcW w:type="dxa" w:w="252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Jorge Andrés Simón</w:t>
            </w:r>
          </w:p>
        </w:tc>
        <w:tc>
          <w:tcPr>
            <w:tcW w:type="dxa" w:w="43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Reparto de horarios del paso de material</w:t>
            </w:r>
          </w:p>
        </w:tc>
      </w:tr>
      <w:tr>
        <w:trPr>
          <w:cantSplit/>
        </w:trPr>
        <w:tc>
          <w:tcPr>
            <w:tcW w:type="dxa" w:w="46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Persona encargada de la coordinación</w:t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Sí</w:t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05/10/2026</w:t>
            </w:r>
          </w:p>
        </w:tc>
        <w:tc>
          <w:tcPr>
            <w:tcW w:type="dxa" w:w="252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Marta Ruiz Peña</w:t>
            </w:r>
          </w:p>
        </w:tc>
        <w:tc>
          <w:tcPr>
            <w:tcW w:type="dxa" w:w="43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Coordinadora de seguridad y salud designada para la obra</w:t>
            </w:r>
          </w:p>
        </w:tc>
      </w:tr>
      <w:tr>
        <w:trPr>
          <w:cantSplit/>
        </w:trPr>
        <w:tc>
          <w:tcPr>
            <w:tcW w:type="dxa" w:w="46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Documentación común de obra</w:t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Sí</w:t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05/10/2026</w:t>
            </w:r>
          </w:p>
        </w:tc>
        <w:tc>
          <w:tcPr>
            <w:tcW w:type="dxa" w:w="252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Marta Ruiz Peña</w:t>
            </w:r>
          </w:p>
        </w:tc>
        <w:tc>
          <w:tcPr>
            <w:tcW w:type="dxa" w:w="43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Estudio básico y plan de seguridad y salud, entregados a todas las empresas</w:t>
            </w:r>
          </w:p>
        </w:tc>
      </w:tr>
      <w:tr>
        <w:trPr>
          <w:cantSplit/>
        </w:trPr>
        <w:tc>
          <w:tcPr>
            <w:tcW w:type="dxa" w:w="468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Intercambio de partes de trabajo entre empresas</w:t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No</w:t>
            </w:r>
          </w:p>
        </w:tc>
        <w:tc>
          <w:tcPr>
            <w:tcW w:type="dxa" w:w="180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252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432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No se ha considerado necesario en esta obra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G.2. Peticiones analizadas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44" w:type="dxa"/>
      </w:tblPr>
      <w:tblGrid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  <w:gridCol w:w="1261"/>
      </w:tblGrid>
      <w:tr>
        <w:trPr>
          <w:tblHeader w:val="true"/>
          <w:cantSplit/>
        </w:trPr>
        <w:tc>
          <w:tcPr>
            <w:tcW w:type="dxa" w:w="37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Nº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939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Documento o información solicitada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63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Riesgo u obligación que pretende cubrir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34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Norma o cláusula invocada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344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Clasificación del requerimiento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043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Responsable de emitirlo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7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 de emisión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7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Caducidad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opcional</w:t>
            </w:r>
          </w:p>
        </w:tc>
        <w:tc>
          <w:tcPr>
            <w:tcW w:type="dxa" w:w="163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Alcance real y datos personales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939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Respuesta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163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Alternativa propuesta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opcional</w:t>
            </w:r>
          </w:p>
        </w:tc>
        <w:tc>
          <w:tcPr>
            <w:tcW w:type="dxa" w:w="7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Estado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</w:tr>
      <w:tr>
        <w:trPr>
          <w:cantSplit/>
        </w:trPr>
        <w:tc>
          <w:tcPr>
            <w:tcW w:type="dxa" w:w="37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1</w:t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Plan de seguridad y salud de la obra</w:t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Conocer las medidas de la obra antes de entrar a trabajar dentro</w:t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Real Decreto 1627/1997, art. 11.1.c</w:t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Medida organizativa del centro</w:t>
            </w:r>
          </w:p>
        </w:tc>
        <w:tc>
          <w:tcPr>
            <w:tcW w:type="dxa" w:w="10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Marta Ruiz Peña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05/10/2026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No procede</w:t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Documento de obra completo. Sin datos personales</w:t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Se entrega copia del plan y del estudio básico aprobado</w:t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Cerrada</w:t>
            </w:r>
          </w:p>
        </w:tc>
      </w:tr>
      <w:tr>
        <w:trPr>
          <w:cantSplit/>
        </w:trPr>
        <w:tc>
          <w:tcPr>
            <w:tcW w:type="dxa" w:w="37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2</w:t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Documento de coordinación de actividades empresariales de Reformas Obregón S.L.</w:t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Saber quién coordina y con qué medios</w:t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Art. 24 de la Ley 31/1995 y Real Decreto 171/2004</w:t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Acreditación de obligación general</w:t>
            </w:r>
          </w:p>
        </w:tc>
        <w:tc>
          <w:tcPr>
            <w:tcW w:type="dxa" w:w="10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Marta Ruiz Peña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05/10/2026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No procede</w:t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Documento interno de la empresa. Sin datos personales</w:t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Se entregan el acta de coordinación inicial y el procedimiento de coordinación de la empresa</w:t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Cerrada</w:t>
            </w:r>
          </w:p>
        </w:tc>
      </w:tr>
      <w:tr>
        <w:trPr>
          <w:cantSplit/>
        </w:trPr>
        <w:tc>
          <w:tcPr>
            <w:tcW w:type="dxa" w:w="37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3</w:t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Relación nominal de los trabajadores que acceden a la obra</w:t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Control de acceso al edificio de los vecinos</w:t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Cláusula de acceso del contrato de subcontratación</w:t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Requisito contractual o de acceso</w:t>
            </w:r>
          </w:p>
        </w:tc>
        <w:tc>
          <w:tcPr>
            <w:tcW w:type="dxa" w:w="10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Jorge Andrés Simón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05/10/2026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Actualización diaria</w:t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Incluye nombres, DNI y categorías profesionales de los operarios</w:t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Se entrega el número de personas por empresa y el listado de control de acceso actualizado a diario</w:t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Listado de control de acceso a la obra, con nombres y DNI, que la empresa actualiza cada día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Cerrada</w:t>
            </w:r>
          </w:p>
        </w:tc>
      </w:tr>
      <w:tr>
        <w:trPr>
          <w:cantSplit/>
        </w:trPr>
        <w:tc>
          <w:tcPr>
            <w:tcW w:type="dxa" w:w="37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4</w:t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Certificado de seguro de responsabilidad civil de cada empresa</w:t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Comprobar que hay cobertura durante los trabajos</w:t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Cláusula 7 del contrato de contrata</w:t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Requisito contractual o de acceso</w:t>
            </w:r>
          </w:p>
        </w:tc>
        <w:tc>
          <w:tcPr>
            <w:tcW w:type="dxa" w:w="10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Nuria Cifuentes Gil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06/10/2026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Anual</w:t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Documento administrativo de la empresa</w:t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Se entrega</w:t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Cerrada</w:t>
            </w:r>
          </w:p>
        </w:tc>
      </w:tr>
      <w:tr>
        <w:trPr>
          <w:cantSplit/>
        </w:trPr>
        <w:tc>
          <w:tcPr>
            <w:tcW w:type="dxa" w:w="37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5</w:t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Copia de la evaluación de riesgos de cada empresa</w:t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Conocer los riesgos de cada actividad que se solapa con la propia</w:t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Real Decreto 1627/1997, art. 11.1.c</w:t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Acreditación de obligación general</w:t>
            </w:r>
          </w:p>
        </w:tc>
        <w:tc>
          <w:tcPr>
            <w:tcW w:type="dxa" w:w="10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Jorge Andrés Simón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06/10/2026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Se revisa al cambiar la actividad</w:t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Documento interno de cada empresa. Sin datos personales</w:t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Se entregan las partes de la evaluación que afectan a los trabajos comunes</w:t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Resumen de riesgos por actividad, en una página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Cerrada</w:t>
            </w:r>
          </w:p>
        </w:tc>
      </w:tr>
      <w:tr>
        <w:trPr>
          <w:cantSplit/>
        </w:trPr>
        <w:tc>
          <w:tcPr>
            <w:tcW w:type="dxa" w:w="37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6</w:t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Vídeos de la formación en seguridad y salud de todos los operarios</w:t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Comprobar la formación del personal que entra en la obra</w:t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Punto 3 del plan de seguridad y salud de la obra</w:t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Dato excesivo o sensible</w:t>
            </w:r>
          </w:p>
        </w:tc>
        <w:tc>
          <w:tcPr>
            <w:tcW w:type="dxa" w:w="10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Incluye imágenes de personas identificables</w:t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No se entrega. Se ofrece la relación de asistentes con fecha, temario y horas, más el temario del curso</w:t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Acta de formación con horas, temario y firma de asistentes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Cerrada</w:t>
            </w:r>
          </w:p>
        </w:tc>
      </w:tr>
      <w:tr>
        <w:trPr>
          <w:cantSplit/>
        </w:trPr>
        <w:tc>
          <w:tcPr>
            <w:tcW w:type="dxa" w:w="37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7</w:t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Certificado de que la vivienda queda vacía de vecinos durante la obra</w:t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Evitar el uso simultáneo de la vivienda por vecinos y operarios</w:t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Real Decreto 1627/1997, art. 7</w:t>
            </w:r>
          </w:p>
        </w:tc>
        <w:tc>
          <w:tcPr>
            <w:tcW w:type="dxa" w:w="1344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Duplicidad o petición no aplicable</w:t>
            </w:r>
          </w:p>
        </w:tc>
        <w:tc>
          <w:tcPr>
            <w:tcW w:type="dxa" w:w="1043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Nuria Cifuentes Gil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06/10/2026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La promotora ya tiene el compromiso por escrito de los vecinos y ha aceptado horarios de obra</w:t>
            </w:r>
          </w:p>
        </w:tc>
        <w:tc>
          <w:tcPr>
            <w:tcW w:type="dxa" w:w="1939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Se comunica por escrito que no es posible garantizar el vaciado y se ofrece el acuerdo de horarios y de segregación</w:t>
            </w:r>
          </w:p>
        </w:tc>
        <w:tc>
          <w:tcPr>
            <w:tcW w:type="dxa" w:w="163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Acta de coordinación inicial y escrito de la promotora a los vecinos</w:t>
            </w:r>
          </w:p>
        </w:tc>
        <w:tc>
          <w:tcPr>
            <w:tcW w:type="dxa" w:w="7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Cerrada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p>
      <w:pPr>
        <w:keepNext/>
        <w:spacing w:after="40" w:before="0" w:line="264" w:lineRule="auto"/>
      </w:pPr>
      <w:r>
        <w:rPr>
          <w:rFonts w:ascii="Arial" w:hAnsi="Arial"/>
          <w:b/>
          <w:i w:val="0"/>
          <w:color w:val="1A1A1A"/>
          <w:sz w:val="19"/>
        </w:rPr>
        <w:t>G.3. Comunicaciones enviadas al solicitante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  <w:tblLayout w:type="fixed"/>
        <w:tblW w:w="15144" w:type="dxa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1848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Fecha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217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Canal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217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Referencia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opcional</w:t>
            </w:r>
          </w:p>
        </w:tc>
        <w:tc>
          <w:tcPr>
            <w:tcW w:type="dxa" w:w="6276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Motivo de la respuesta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  <w:tc>
          <w:tcPr>
            <w:tcW w:type="dxa" w:w="2585"/>
            <w:vAlign w:val="top"/>
            <w:shd w:val="clear" w:color="auto" w:fill="F2F2F2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/>
                <w:color w:val="1A1A1A"/>
                <w:sz w:val="18"/>
              </w:rPr>
              <w:t>Recibido por</w:t>
            </w:r>
          </w:p>
          <w:p>
            <w:pPr>
              <w:spacing w:after="0"/>
            </w:pPr>
            <w:r>
              <w:rPr>
                <w:i/>
                <w:color w:val="808080"/>
                <w:sz w:val="14"/>
              </w:rPr>
              <w:t>obligatorio</w:t>
            </w:r>
          </w:p>
        </w:tc>
      </w:tr>
      <w:tr>
        <w:trPr>
          <w:cantSplit/>
        </w:trPr>
        <w:tc>
          <w:tcPr>
            <w:tcW w:type="dxa" w:w="18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07/10/2026</w:t>
            </w:r>
          </w:p>
        </w:tc>
        <w:tc>
          <w:tcPr>
            <w:tcW w:type="dxa" w:w="221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Correo electrónico</w:t>
            </w:r>
          </w:p>
        </w:tc>
        <w:tc>
          <w:tcPr>
            <w:tcW w:type="dxa" w:w="221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CA-01</w:t>
            </w:r>
          </w:p>
        </w:tc>
        <w:tc>
          <w:tcPr>
            <w:tcW w:type="dxa" w:w="627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Se remite la documentación de obra y se explican los puntos 3, 6 y 7, con la alternativa que se ofrece en cada caso</w:t>
            </w:r>
          </w:p>
        </w:tc>
        <w:tc>
          <w:tcPr>
            <w:tcW w:type="dxa" w:w="258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Andrés Marín Tello (Instalaciones Pérez S.L.)</w:t>
            </w:r>
          </w:p>
        </w:tc>
      </w:tr>
      <w:tr>
        <w:trPr>
          <w:cantSplit/>
        </w:trPr>
        <w:tc>
          <w:tcPr>
            <w:tcW w:type="dxa" w:w="1848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09/10/2026</w:t>
            </w:r>
          </w:p>
        </w:tc>
        <w:tc>
          <w:tcPr>
            <w:tcW w:type="dxa" w:w="221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Reunión en obra</w:t>
            </w:r>
          </w:p>
        </w:tc>
        <w:tc>
          <w:tcPr>
            <w:tcW w:type="dxa" w:w="2217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ACTA-D-02</w:t>
            </w:r>
          </w:p>
        </w:tc>
        <w:tc>
          <w:tcPr>
            <w:tcW w:type="dxa" w:w="6276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Se firma el acta con los acuerdos de la reunión y se repasa el punto de vulneración de datos personales</w:t>
            </w:r>
          </w:p>
        </w:tc>
        <w:tc>
          <w:tcPr>
            <w:tcW w:type="dxa" w:w="2585"/>
            <w:vAlign w:val="top"/>
          </w:tcPr>
          <w:p>
            <w:pPr>
              <w:spacing w:before="30" w:after="30" w:line="240" w:lineRule="auto"/>
              <w:jc w:val="left"/>
            </w:pPr>
            <w:r>
              <w:rPr>
                <w:rFonts w:ascii="Arial" w:hAnsi="Arial"/>
                <w:b w:val="0"/>
                <w:color w:val="1A1A1A"/>
                <w:sz w:val="18"/>
              </w:rPr>
              <w:t>Andrés Marín Tello (Instalaciones Pérez S.L.)</w:t>
            </w:r>
          </w:p>
        </w:tc>
      </w:tr>
    </w:tbl>
    <w:p>
      <w:pPr>
        <w:spacing w:after="40" w:before="0" w:line="264" w:lineRule="auto"/>
      </w:pPr>
      <w:r>
        <w:rPr>
          <w:rFonts w:ascii="Arial" w:hAnsi="Arial"/>
          <w:b w:val="0"/>
          <w:i w:val="0"/>
          <w:color w:val="1A1A1A"/>
          <w:sz w:val="8"/>
        </w:rPr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94" w:right="850" w:bottom="794" w:left="850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1A1A1A"/>
        <w:sz w:val="16"/>
      </w:rPr>
      <w:t xml:space="preserve">Voz de Trinchera · Libro 3 — instrumento de trabajo. Rellenarlo no acredita por sí solo el cumplimiento legal.   ·   </w:t>
    </w:r>
    <w:r>
      <w:rPr>
        <w:rFonts w:ascii="Arial" w:hAnsi="Arial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808080"/>
      </w:pBdr>
    </w:pPr>
    <w:r>
      <w:rPr>
        <w:rFonts w:ascii="Arial" w:hAnsi="Arial"/>
        <w:color w:val="1A1A1A"/>
        <w:sz w:val="16"/>
      </w:rPr>
      <w:t>Anexo G · Ficha de análisis de requerimientos CAE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 w:cs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