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7 — Seguimiento de responsables, plazos y eficacia</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hoja de control del plan de acciones: quién va con retraso, por qué y qué se ha comprobado que las acciones han servido.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el plan no se quede en un documento. Y que la eficacia se mida con una comparación antes y después, no con la opinión de que se ha hecho.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responsable del seguimiento, con revisión periódica de la dirección de la empresa.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Revisión mensual mientras haya acciones abiertas, y cierre cuando la última esté verificada.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Estado de cada acción, retraso y su motivo, nueva fecha, resultado de la comprobación de eficacia y criterio aplicado.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acción ejecutada no es una acción eficaz. Son dos estados distintos y esta hoja los separa a propósito. El indicador se define antes de ejecutar. Si se define después, se elige el que sale bien. Un retraso sin motivo escrito es un retraso que se repite. La eficacia se comprueba con una comparación en el tiempo, no con la percepción de que la cosa va mejor.</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ninguna acción lleva más de un mes en curso sin motivo registrado.</w:t>
      </w:r>
    </w:p>
    <w:p>
      <w:pPr>
        <w:spacing w:after="40" w:line="264" w:lineRule="auto"/>
        <w:ind w:left="567" w:hanging="227"/>
      </w:pPr>
      <w:r>
        <w:rPr>
          <w:rFonts w:ascii="Arial" w:hAnsi="Arial"/>
          <w:color w:val="1A1A1A"/>
          <w:sz w:val="19"/>
        </w:rPr>
        <w:t>• Que cada acción verificada tiene su indicador medido antes y después.</w:t>
      </w:r>
    </w:p>
    <w:p>
      <w:pPr>
        <w:spacing w:after="40" w:line="264" w:lineRule="auto"/>
        <w:ind w:left="567" w:hanging="227"/>
      </w:pPr>
      <w:r>
        <w:rPr>
          <w:rFonts w:ascii="Arial" w:hAnsi="Arial"/>
          <w:color w:val="1A1A1A"/>
          <w:sz w:val="19"/>
        </w:rPr>
        <w:t>• Que las acciones que no han arrojado resultado de eficacia se reabren, no se archivan.</w:t>
      </w:r>
    </w:p>
    <w:p>
      <w:pPr>
        <w:spacing w:after="40" w:line="264" w:lineRule="auto"/>
        <w:ind w:left="567" w:hanging="227"/>
      </w:pPr>
      <w:r>
        <w:rPr>
          <w:rFonts w:ascii="Arial" w:hAnsi="Arial"/>
          <w:color w:val="1A1A1A"/>
          <w:sz w:val="19"/>
        </w:rPr>
        <w:t>• Que el informe de cierre recoge el resultado, no sólo el cumplimiento del plazo.</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Una fila por acción del plan. El número de acción es el mismo que en la plantilla 6.</w:t>
      </w:r>
    </w:p>
    <w:p>
      <w:pPr>
        <w:spacing w:after="40" w:line="264" w:lineRule="auto"/>
        <w:ind w:left="567" w:hanging="227"/>
      </w:pPr>
      <w:r>
        <w:rPr>
          <w:rFonts w:ascii="Arial" w:hAnsi="Arial"/>
          <w:color w:val="1A1A1A"/>
          <w:sz w:val="19"/>
        </w:rPr>
        <w:t>2. La columna de retraso se calcula, no se estima. Si el software no lo hace, réstelo.</w:t>
      </w:r>
    </w:p>
    <w:p>
      <w:pPr>
        <w:spacing w:after="40" w:line="264" w:lineRule="auto"/>
        <w:ind w:left="567" w:hanging="227"/>
      </w:pPr>
      <w:r>
        <w:rPr>
          <w:rFonts w:ascii="Arial" w:hAnsi="Arial"/>
          <w:color w:val="1A1A1A"/>
          <w:sz w:val="19"/>
        </w:rPr>
        <w:t>3. La eficacia se mide con el mismo indicador que se fijó en la plantilla 6, sin cambiarlo por el camino.</w:t>
      </w:r>
    </w:p>
    <w:p>
      <w:pPr>
        <w:spacing w:after="40" w:line="264" w:lineRule="auto"/>
        <w:ind w:left="567" w:hanging="227"/>
      </w:pPr>
      <w:r>
        <w:rPr>
          <w:rFonts w:ascii="Arial" w:hAnsi="Arial"/>
          <w:color w:val="1A1A1A"/>
          <w:sz w:val="19"/>
        </w:rPr>
        <w:t>4. Una acción descartada lleva la razón escrita. Sin razón, sigue abierta.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Plan de acciones</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seguimiento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esta revisión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prevista de cierre</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Seguimiento de acciones</w:t>
      </w:r>
    </w:p>
    <w:p>
      <w:pPr>
        <w:keepNext/>
        <w:spacing w:after="40" w:before="0" w:line="264" w:lineRule="auto"/>
      </w:pPr>
      <w:r>
        <w:rPr>
          <w:rFonts w:ascii="Arial" w:hAnsi="Arial"/>
          <w:b/>
          <w:i w:val="0"/>
          <w:color w:val="1A1A1A"/>
          <w:sz w:val="19"/>
        </w:rPr>
        <w:t>P7.1. Estado, retraso y motivo de cada acción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958"/>
            <w:vAlign w:val="top"/>
            <w:shd w:val="clear" w:color="auto" w:fill="F2F2F2"/>
          </w:tcPr>
          <w:p>
            <w:pPr>
              <w:spacing w:before="30" w:after="30" w:line="240" w:lineRule="auto"/>
              <w:jc w:val="left"/>
            </w:pPr>
            <w:r>
              <w:rPr>
                <w:rFonts w:ascii="Arial" w:hAnsi="Arial"/>
                <w:b/>
                <w:color w:val="1A1A1A"/>
                <w:sz w:val="18"/>
              </w:rPr>
              <w:t>Nº acción</w:t>
            </w:r>
          </w:p>
          <w:p>
            <w:pPr>
              <w:spacing w:after="0"/>
            </w:pPr>
            <w:r>
              <w:rPr>
                <w:i/>
                <w:color w:val="808080"/>
                <w:sz w:val="14"/>
              </w:rPr>
              <w:t>obligatorio</w:t>
            </w:r>
          </w:p>
        </w:tc>
        <w:tc>
          <w:tcPr>
            <w:tcW w:type="dxa" w:w="362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19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491"/>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599"/>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Días de retraso</w:t>
            </w:r>
          </w:p>
          <w:p>
            <w:pPr>
              <w:spacing w:after="0"/>
            </w:pPr>
            <w:r>
              <w:rPr>
                <w:i/>
                <w:color w:val="808080"/>
                <w:sz w:val="14"/>
              </w:rPr>
              <w:t>opcional</w:t>
            </w:r>
          </w:p>
        </w:tc>
        <w:tc>
          <w:tcPr>
            <w:tcW w:type="dxa" w:w="2772"/>
            <w:vAlign w:val="top"/>
            <w:shd w:val="clear" w:color="auto" w:fill="F2F2F2"/>
          </w:tcPr>
          <w:p>
            <w:pPr>
              <w:spacing w:before="30" w:after="30" w:line="240" w:lineRule="auto"/>
              <w:jc w:val="left"/>
            </w:pPr>
            <w:r>
              <w:rPr>
                <w:rFonts w:ascii="Arial" w:hAnsi="Arial"/>
                <w:b/>
                <w:color w:val="1A1A1A"/>
                <w:sz w:val="18"/>
              </w:rPr>
              <w:t>Motivo del retraso o del cambio</w:t>
            </w:r>
          </w:p>
          <w:p>
            <w:pPr>
              <w:spacing w:after="0"/>
            </w:pPr>
            <w:r>
              <w:rPr>
                <w:i/>
                <w:color w:val="808080"/>
                <w:sz w:val="14"/>
              </w:rPr>
              <w:t>opcional</w:t>
            </w:r>
          </w:p>
        </w:tc>
        <w:tc>
          <w:tcPr>
            <w:tcW w:type="dxa" w:w="1491"/>
            <w:vAlign w:val="top"/>
            <w:shd w:val="clear" w:color="auto" w:fill="F2F2F2"/>
          </w:tcPr>
          <w:p>
            <w:pPr>
              <w:spacing w:before="30" w:after="30" w:line="240" w:lineRule="auto"/>
              <w:jc w:val="left"/>
            </w:pPr>
            <w:r>
              <w:rPr>
                <w:rFonts w:ascii="Arial" w:hAnsi="Arial"/>
                <w:b/>
                <w:color w:val="1A1A1A"/>
                <w:sz w:val="18"/>
              </w:rPr>
              <w:t>Nueva fecha</w:t>
            </w:r>
          </w:p>
          <w:p>
            <w:pPr>
              <w:spacing w:after="0"/>
            </w:pPr>
            <w:r>
              <w:rPr>
                <w:i/>
                <w:color w:val="808080"/>
                <w:sz w:val="14"/>
              </w:rPr>
              <w:t>opcional</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958"/>
            <w:vAlign w:val="top"/>
          </w:tcPr>
          <w:p>
            <w:pPr>
              <w:spacing w:before="30" w:after="30" w:line="240" w:lineRule="auto"/>
              <w:jc w:val="left"/>
            </w:pPr>
            <w:r>
              <w:rPr>
                <w:rFonts w:ascii="Arial" w:hAnsi="Arial"/>
                <w:b w:val="0"/>
                <w:color w:val="1A1A1A"/>
                <w:sz w:val="18"/>
              </w:rPr>
            </w:r>
          </w:p>
        </w:tc>
        <w:tc>
          <w:tcPr>
            <w:tcW w:type="dxa" w:w="3623"/>
            <w:vAlign w:val="top"/>
          </w:tcPr>
          <w:p>
            <w:pPr>
              <w:spacing w:before="30" w:after="30" w:line="240" w:lineRule="auto"/>
              <w:jc w:val="left"/>
            </w:pPr>
            <w:r>
              <w:rPr>
                <w:rFonts w:ascii="Arial" w:hAnsi="Arial"/>
                <w:b w:val="0"/>
                <w:color w:val="1A1A1A"/>
                <w:sz w:val="18"/>
              </w:rPr>
            </w:r>
          </w:p>
        </w:tc>
        <w:tc>
          <w:tcPr>
            <w:tcW w:type="dxa" w:w="1916"/>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9"/>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c>
          <w:tcPr>
            <w:tcW w:type="dxa" w:w="1281"/>
            <w:vAlign w:val="top"/>
          </w:tcPr>
          <w:p>
            <w:pPr>
              <w:spacing w:before="30" w:after="30" w:line="240" w:lineRule="auto"/>
              <w:jc w:val="left"/>
            </w:pPr>
            <w:r>
              <w:rPr>
                <w:rFonts w:ascii="Arial" w:hAnsi="Arial"/>
                <w:b w:val="0"/>
                <w:color w:val="1A1A1A"/>
                <w:sz w:val="18"/>
              </w:rPr>
            </w:r>
          </w:p>
        </w:tc>
        <w:tc>
          <w:tcPr>
            <w:tcW w:type="dxa" w:w="2772"/>
            <w:vAlign w:val="top"/>
          </w:tcPr>
          <w:p>
            <w:pPr>
              <w:spacing w:before="30" w:after="30" w:line="240" w:lineRule="auto"/>
              <w:jc w:val="left"/>
            </w:pPr>
            <w:r>
              <w:rPr>
                <w:rFonts w:ascii="Arial" w:hAnsi="Arial"/>
                <w:b w:val="0"/>
                <w:color w:val="1A1A1A"/>
                <w:sz w:val="18"/>
              </w:rPr>
            </w:r>
          </w:p>
        </w:tc>
        <w:tc>
          <w:tcPr>
            <w:tcW w:type="dxa" w:w="1491"/>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Comprobación de eficacia</w:t>
      </w:r>
    </w:p>
    <w:p>
      <w:pPr>
        <w:keepNext/>
        <w:spacing w:after="40" w:before="0" w:line="264" w:lineRule="auto"/>
      </w:pPr>
      <w:r>
        <w:rPr>
          <w:rFonts w:ascii="Arial" w:hAnsi="Arial"/>
          <w:b/>
          <w:i w:val="0"/>
          <w:color w:val="1A1A1A"/>
          <w:sz w:val="19"/>
        </w:rPr>
        <w:t>P7.2. Indicadores medidos antes y después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1892"/>
        <w:gridCol w:w="1892"/>
        <w:gridCol w:w="1892"/>
        <w:gridCol w:w="1892"/>
        <w:gridCol w:w="1892"/>
        <w:gridCol w:w="1892"/>
        <w:gridCol w:w="1892"/>
        <w:gridCol w:w="1892"/>
      </w:tblGrid>
      <w:tr>
        <w:trPr>
          <w:tblHeader w:val="true"/>
          <w:cantSplit/>
        </w:trPr>
        <w:tc>
          <w:tcPr>
            <w:tcW w:type="dxa" w:w="913"/>
            <w:vAlign w:val="top"/>
            <w:shd w:val="clear" w:color="auto" w:fill="F2F2F2"/>
          </w:tcPr>
          <w:p>
            <w:pPr>
              <w:spacing w:before="30" w:after="30" w:line="240" w:lineRule="auto"/>
              <w:jc w:val="left"/>
            </w:pPr>
            <w:r>
              <w:rPr>
                <w:rFonts w:ascii="Arial" w:hAnsi="Arial"/>
                <w:b/>
                <w:color w:val="1A1A1A"/>
                <w:sz w:val="18"/>
              </w:rPr>
              <w:t>Nº acción</w:t>
            </w:r>
          </w:p>
          <w:p>
            <w:pPr>
              <w:spacing w:after="0"/>
            </w:pPr>
            <w:r>
              <w:rPr>
                <w:i/>
                <w:color w:val="808080"/>
                <w:sz w:val="14"/>
              </w:rPr>
              <w:t>obligatorio</w:t>
            </w:r>
          </w:p>
        </w:tc>
        <w:tc>
          <w:tcPr>
            <w:tcW w:type="dxa" w:w="3050"/>
            <w:vAlign w:val="top"/>
            <w:shd w:val="clear" w:color="auto" w:fill="F2F2F2"/>
          </w:tcPr>
          <w:p>
            <w:pPr>
              <w:spacing w:before="30" w:after="30" w:line="240" w:lineRule="auto"/>
              <w:jc w:val="left"/>
            </w:pPr>
            <w:r>
              <w:rPr>
                <w:rFonts w:ascii="Arial" w:hAnsi="Arial"/>
                <w:b/>
                <w:color w:val="1A1A1A"/>
                <w:sz w:val="18"/>
              </w:rPr>
              <w:t>Indicador</w:t>
            </w:r>
          </w:p>
          <w:p>
            <w:pPr>
              <w:spacing w:after="0"/>
            </w:pPr>
            <w:r>
              <w:rPr>
                <w:i/>
                <w:color w:val="808080"/>
                <w:sz w:val="14"/>
              </w:rPr>
              <w:t>obligatorio</w:t>
            </w:r>
          </w:p>
        </w:tc>
        <w:tc>
          <w:tcPr>
            <w:tcW w:type="dxa" w:w="2642"/>
            <w:vAlign w:val="top"/>
            <w:shd w:val="clear" w:color="auto" w:fill="F2F2F2"/>
          </w:tcPr>
          <w:p>
            <w:pPr>
              <w:spacing w:before="30" w:after="30" w:line="240" w:lineRule="auto"/>
              <w:jc w:val="left"/>
            </w:pPr>
            <w:r>
              <w:rPr>
                <w:rFonts w:ascii="Arial" w:hAnsi="Arial"/>
                <w:b/>
                <w:color w:val="1A1A1A"/>
                <w:sz w:val="18"/>
              </w:rPr>
              <w:t>Cómo se mide</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Valor antes</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Valor después</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Periodo</w:t>
            </w:r>
          </w:p>
          <w:p>
            <w:pPr>
              <w:spacing w:after="0"/>
            </w:pPr>
            <w:r>
              <w:rPr>
                <w:i/>
                <w:color w:val="808080"/>
                <w:sz w:val="14"/>
              </w:rPr>
              <w:t>obligatorio</w:t>
            </w:r>
          </w:p>
        </w:tc>
        <w:tc>
          <w:tcPr>
            <w:tcW w:type="dxa" w:w="1627"/>
            <w:vAlign w:val="top"/>
            <w:shd w:val="clear" w:color="auto" w:fill="F2F2F2"/>
          </w:tcPr>
          <w:p>
            <w:pPr>
              <w:spacing w:before="30" w:after="30" w:line="240" w:lineRule="auto"/>
              <w:jc w:val="left"/>
            </w:pPr>
            <w:r>
              <w:rPr>
                <w:rFonts w:ascii="Arial" w:hAnsi="Arial"/>
                <w:b/>
                <w:color w:val="1A1A1A"/>
                <w:sz w:val="18"/>
              </w:rPr>
              <w:t>Resultado</w:t>
            </w:r>
          </w:p>
          <w:p>
            <w:pPr>
              <w:spacing w:after="0"/>
            </w:pPr>
            <w:r>
              <w:rPr>
                <w:i/>
                <w:color w:val="808080"/>
                <w:sz w:val="14"/>
              </w:rPr>
              <w:t>obligatorio</w:t>
            </w:r>
          </w:p>
        </w:tc>
        <w:tc>
          <w:tcPr>
            <w:tcW w:type="dxa" w:w="2642"/>
            <w:vAlign w:val="top"/>
            <w:shd w:val="clear" w:color="auto" w:fill="F2F2F2"/>
          </w:tcPr>
          <w:p>
            <w:pPr>
              <w:spacing w:before="30" w:after="30" w:line="240" w:lineRule="auto"/>
              <w:jc w:val="left"/>
            </w:pPr>
            <w:r>
              <w:rPr>
                <w:rFonts w:ascii="Arial" w:hAnsi="Arial"/>
                <w:b/>
                <w:color w:val="1A1A1A"/>
                <w:sz w:val="18"/>
              </w:rPr>
              <w:t>Criterio aplicado</w:t>
            </w:r>
          </w:p>
          <w:p>
            <w:pPr>
              <w:spacing w:after="0"/>
            </w:pPr>
            <w:r>
              <w:rPr>
                <w:i/>
                <w:color w:val="808080"/>
                <w:sz w:val="14"/>
              </w:rPr>
              <w:t>obligatorio</w:t>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r>
        <w:trPr>
          <w:cantSplit/>
        </w:trPr>
        <w:tc>
          <w:tcPr>
            <w:tcW w:type="dxa" w:w="913"/>
            <w:vAlign w:val="top"/>
          </w:tcPr>
          <w:p>
            <w:pPr>
              <w:spacing w:before="30" w:after="30" w:line="240" w:lineRule="auto"/>
              <w:jc w:val="left"/>
            </w:pPr>
            <w:r>
              <w:rPr>
                <w:rFonts w:ascii="Arial" w:hAnsi="Arial"/>
                <w:b w:val="0"/>
                <w:color w:val="1A1A1A"/>
                <w:sz w:val="18"/>
              </w:rPr>
            </w:r>
          </w:p>
        </w:tc>
        <w:tc>
          <w:tcPr>
            <w:tcW w:type="dxa" w:w="3050"/>
            <w:vAlign w:val="top"/>
          </w:tcPr>
          <w:p>
            <w:pPr>
              <w:spacing w:before="30" w:after="30" w:line="240" w:lineRule="auto"/>
              <w:jc w:val="left"/>
            </w:pPr>
            <w:r>
              <w:rPr>
                <w:rFonts w:ascii="Arial" w:hAnsi="Arial"/>
                <w:b w:val="0"/>
                <w:color w:val="1A1A1A"/>
                <w:sz w:val="18"/>
              </w:rPr>
            </w:r>
          </w:p>
        </w:tc>
        <w:tc>
          <w:tcPr>
            <w:tcW w:type="dxa" w:w="2642"/>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423"/>
            <w:vAlign w:val="top"/>
          </w:tcPr>
          <w:p>
            <w:pPr>
              <w:spacing w:before="30" w:after="30" w:line="240" w:lineRule="auto"/>
              <w:jc w:val="left"/>
            </w:pPr>
            <w:r>
              <w:rPr>
                <w:rFonts w:ascii="Arial" w:hAnsi="Arial"/>
                <w:b w:val="0"/>
                <w:color w:val="1A1A1A"/>
                <w:sz w:val="18"/>
              </w:rPr>
            </w:r>
          </w:p>
        </w:tc>
        <w:tc>
          <w:tcPr>
            <w:tcW w:type="dxa" w:w="1627"/>
            <w:vAlign w:val="top"/>
          </w:tcPr>
          <w:p>
            <w:pPr>
              <w:spacing w:before="30" w:after="30" w:line="240" w:lineRule="auto"/>
              <w:jc w:val="left"/>
            </w:pPr>
            <w:r>
              <w:rPr>
                <w:rFonts w:ascii="Arial" w:hAnsi="Arial"/>
                <w:b w:val="0"/>
                <w:color w:val="1A1A1A"/>
                <w:sz w:val="18"/>
              </w:rPr>
            </w:r>
          </w:p>
          <w:p>
            <w:pPr>
              <w:spacing w:after="0"/>
            </w:pPr>
            <w:r>
              <w:rPr>
                <w:i/>
                <w:color w:val="808080"/>
                <w:sz w:val="14"/>
              </w:rPr>
              <w:t>▾ Eficaz · Parcialmente eficaz · No eficaz · Sin datos</w:t>
            </w:r>
          </w:p>
        </w:tc>
        <w:tc>
          <w:tcPr>
            <w:tcW w:type="dxa" w:w="2642"/>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Incidencias del seguimiento</w:t>
      </w:r>
    </w:p>
    <w:p>
      <w:pPr>
        <w:keepNext/>
        <w:spacing w:after="40" w:before="0" w:line="264" w:lineRule="auto"/>
      </w:pPr>
      <w:r>
        <w:rPr>
          <w:rFonts w:ascii="Arial" w:hAnsi="Arial"/>
          <w:b/>
          <w:i w:val="0"/>
          <w:color w:val="1A1A1A"/>
          <w:sz w:val="19"/>
        </w:rPr>
        <w:t>P7.3. Lo que ha pasado con el plan durante el seguimiento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035"/>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Incidencia</w:t>
            </w:r>
          </w:p>
          <w:p>
            <w:pPr>
              <w:spacing w:after="0"/>
            </w:pPr>
            <w:r>
              <w:rPr>
                <w:i/>
                <w:color w:val="808080"/>
                <w:sz w:val="14"/>
              </w:rPr>
              <w:t>obligatorio</w:t>
            </w:r>
          </w:p>
        </w:tc>
        <w:tc>
          <w:tcPr>
            <w:tcW w:type="dxa" w:w="4660"/>
            <w:vAlign w:val="top"/>
            <w:shd w:val="clear" w:color="auto" w:fill="F2F2F2"/>
          </w:tcPr>
          <w:p>
            <w:pPr>
              <w:spacing w:before="30" w:after="30" w:line="240" w:lineRule="auto"/>
              <w:jc w:val="left"/>
            </w:pPr>
            <w:r>
              <w:rPr>
                <w:rFonts w:ascii="Arial" w:hAnsi="Arial"/>
                <w:b/>
                <w:color w:val="1A1A1A"/>
                <w:sz w:val="18"/>
              </w:rPr>
              <w:t>Decisión tomada</w:t>
            </w:r>
          </w:p>
          <w:p>
            <w:pPr>
              <w:spacing w:after="0"/>
            </w:pPr>
            <w:r>
              <w:rPr>
                <w:i/>
                <w:color w:val="808080"/>
                <w:sz w:val="14"/>
              </w:rPr>
              <w:t>obligatorio</w:t>
            </w:r>
          </w:p>
        </w:tc>
        <w:tc>
          <w:tcPr>
            <w:tcW w:type="dxa" w:w="2619"/>
            <w:vAlign w:val="top"/>
            <w:shd w:val="clear" w:color="auto" w:fill="F2F2F2"/>
          </w:tcPr>
          <w:p>
            <w:pPr>
              <w:spacing w:before="30" w:after="30" w:line="240" w:lineRule="auto"/>
              <w:jc w:val="left"/>
            </w:pPr>
            <w:r>
              <w:rPr>
                <w:rFonts w:ascii="Arial" w:hAnsi="Arial"/>
                <w:b/>
                <w:color w:val="1A1A1A"/>
                <w:sz w:val="18"/>
              </w:rPr>
              <w:t>Quién decide</w:t>
            </w:r>
          </w:p>
          <w:p>
            <w:pPr>
              <w:spacing w:after="0"/>
            </w:pPr>
            <w:r>
              <w:rPr>
                <w:i/>
                <w:color w:val="808080"/>
                <w:sz w:val="14"/>
              </w:rPr>
              <w:t>obligatorio</w:t>
            </w:r>
          </w:p>
        </w:tc>
      </w:tr>
      <w:tr>
        <w:trPr>
          <w:cantSplit/>
        </w:trPr>
        <w:tc>
          <w:tcPr>
            <w:tcW w:type="dxa" w:w="203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5822"/>
            <w:vAlign w:val="top"/>
          </w:tcPr>
          <w:p>
            <w:pPr>
              <w:spacing w:before="30" w:after="30" w:line="240" w:lineRule="auto"/>
              <w:jc w:val="left"/>
            </w:pPr>
            <w:r>
              <w:rPr>
                <w:rFonts w:ascii="Arial" w:hAnsi="Arial"/>
                <w:b w:val="0"/>
                <w:color w:val="1A1A1A"/>
                <w:sz w:val="18"/>
              </w:rPr>
            </w:r>
          </w:p>
        </w:tc>
        <w:tc>
          <w:tcPr>
            <w:tcW w:type="dxa" w:w="4660"/>
            <w:vAlign w:val="top"/>
          </w:tcPr>
          <w:p>
            <w:pPr>
              <w:spacing w:before="30" w:after="30" w:line="240" w:lineRule="auto"/>
              <w:jc w:val="left"/>
            </w:pPr>
            <w:r>
              <w:rPr>
                <w:rFonts w:ascii="Arial" w:hAnsi="Arial"/>
                <w:b w:val="0"/>
                <w:color w:val="1A1A1A"/>
                <w:sz w:val="18"/>
              </w:rPr>
            </w:r>
          </w:p>
        </w:tc>
        <w:tc>
          <w:tcPr>
            <w:tcW w:type="dxa" w:w="2619"/>
            <w:vAlign w:val="top"/>
          </w:tcPr>
          <w:p>
            <w:pPr>
              <w:spacing w:before="30" w:after="30" w:line="240" w:lineRule="auto"/>
              <w:jc w:val="left"/>
            </w:pPr>
            <w:r>
              <w:rPr>
                <w:rFonts w:ascii="Arial" w:hAnsi="Arial"/>
                <w:b w:val="0"/>
                <w:color w:val="1A1A1A"/>
                <w:sz w:val="18"/>
              </w:rPr>
            </w:r>
          </w:p>
        </w:tc>
      </w:tr>
      <w:tr>
        <w:trPr>
          <w:cantSplit/>
        </w:trPr>
        <w:tc>
          <w:tcPr>
            <w:tcW w:type="dxa" w:w="203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5822"/>
            <w:vAlign w:val="top"/>
          </w:tcPr>
          <w:p>
            <w:pPr>
              <w:spacing w:before="30" w:after="30" w:line="240" w:lineRule="auto"/>
              <w:jc w:val="left"/>
            </w:pPr>
            <w:r>
              <w:rPr>
                <w:rFonts w:ascii="Arial" w:hAnsi="Arial"/>
                <w:b w:val="0"/>
                <w:color w:val="1A1A1A"/>
                <w:sz w:val="18"/>
              </w:rPr>
            </w:r>
          </w:p>
        </w:tc>
        <w:tc>
          <w:tcPr>
            <w:tcW w:type="dxa" w:w="4660"/>
            <w:vAlign w:val="top"/>
          </w:tcPr>
          <w:p>
            <w:pPr>
              <w:spacing w:before="30" w:after="30" w:line="240" w:lineRule="auto"/>
              <w:jc w:val="left"/>
            </w:pPr>
            <w:r>
              <w:rPr>
                <w:rFonts w:ascii="Arial" w:hAnsi="Arial"/>
                <w:b w:val="0"/>
                <w:color w:val="1A1A1A"/>
                <w:sz w:val="18"/>
              </w:rPr>
            </w:r>
          </w:p>
        </w:tc>
        <w:tc>
          <w:tcPr>
            <w:tcW w:type="dxa" w:w="2619"/>
            <w:vAlign w:val="top"/>
          </w:tcPr>
          <w:p>
            <w:pPr>
              <w:spacing w:before="30" w:after="30" w:line="240" w:lineRule="auto"/>
              <w:jc w:val="left"/>
            </w:pPr>
            <w:r>
              <w:rPr>
                <w:rFonts w:ascii="Arial" w:hAnsi="Arial"/>
                <w:b w:val="0"/>
                <w:color w:val="1A1A1A"/>
                <w:sz w:val="18"/>
              </w:rPr>
            </w:r>
          </w:p>
        </w:tc>
      </w:tr>
      <w:tr>
        <w:trPr>
          <w:cantSplit/>
        </w:trPr>
        <w:tc>
          <w:tcPr>
            <w:tcW w:type="dxa" w:w="203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5822"/>
            <w:vAlign w:val="top"/>
          </w:tcPr>
          <w:p>
            <w:pPr>
              <w:spacing w:before="30" w:after="30" w:line="240" w:lineRule="auto"/>
              <w:jc w:val="left"/>
            </w:pPr>
            <w:r>
              <w:rPr>
                <w:rFonts w:ascii="Arial" w:hAnsi="Arial"/>
                <w:b w:val="0"/>
                <w:color w:val="1A1A1A"/>
                <w:sz w:val="18"/>
              </w:rPr>
            </w:r>
          </w:p>
        </w:tc>
        <w:tc>
          <w:tcPr>
            <w:tcW w:type="dxa" w:w="4660"/>
            <w:vAlign w:val="top"/>
          </w:tcPr>
          <w:p>
            <w:pPr>
              <w:spacing w:before="30" w:after="30" w:line="240" w:lineRule="auto"/>
              <w:jc w:val="left"/>
            </w:pPr>
            <w:r>
              <w:rPr>
                <w:rFonts w:ascii="Arial" w:hAnsi="Arial"/>
                <w:b w:val="0"/>
                <w:color w:val="1A1A1A"/>
                <w:sz w:val="18"/>
              </w:rPr>
            </w:r>
          </w:p>
        </w:tc>
        <w:tc>
          <w:tcPr>
            <w:tcW w:type="dxa" w:w="2619"/>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El apartado 3 es el que separa un seguimiento real de un fichero de seguimiento. Casi todos los expedientes tienen acciones «ejecutadas» y ningún apartado de incidencias. Un plan en el que nunca ha pasado nada, en el que no ha habido una presión de plazo, una propuesta de material no certificado o un ajuste de calendario, probablemente no se está siguiendo: se está rellenando.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Plan de acciones</w:t>
            </w:r>
          </w:p>
        </w:tc>
        <w:tc>
          <w:tcPr>
            <w:tcW w:type="dxa" w:w="12189"/>
            <w:vAlign w:val="top"/>
          </w:tcPr>
          <w:p>
            <w:pPr>
              <w:spacing w:before="30" w:after="30" w:line="240" w:lineRule="auto"/>
              <w:jc w:val="left"/>
            </w:pPr>
            <w:r>
              <w:rPr>
                <w:rFonts w:ascii="Arial" w:hAnsi="Arial"/>
                <w:b w:val="0"/>
                <w:color w:val="1A1A1A"/>
                <w:sz w:val="18"/>
              </w:rPr>
              <w:t>Plantilla 6, de 22/10/2026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seguimiento</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esta revisión</w:t>
            </w:r>
          </w:p>
        </w:tc>
        <w:tc>
          <w:tcPr>
            <w:tcW w:type="dxa" w:w="12189"/>
            <w:vAlign w:val="top"/>
          </w:tcPr>
          <w:p>
            <w:pPr>
              <w:spacing w:before="30" w:after="30" w:line="240" w:lineRule="auto"/>
              <w:jc w:val="left"/>
            </w:pPr>
            <w:r>
              <w:rPr>
                <w:rFonts w:ascii="Arial" w:hAnsi="Arial"/>
                <w:b w:val="0"/>
                <w:color w:val="1A1A1A"/>
                <w:sz w:val="18"/>
              </w:rPr>
              <w:t>20/11/2026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prevista de cierre</w:t>
            </w:r>
          </w:p>
        </w:tc>
        <w:tc>
          <w:tcPr>
            <w:tcW w:type="dxa" w:w="12189"/>
            <w:vAlign w:val="top"/>
          </w:tcPr>
          <w:p>
            <w:pPr>
              <w:spacing w:before="30" w:after="30" w:line="240" w:lineRule="auto"/>
              <w:jc w:val="left"/>
            </w:pPr>
            <w:r>
              <w:rPr>
                <w:rFonts w:ascii="Arial" w:hAnsi="Arial"/>
                <w:b w:val="0"/>
                <w:color w:val="1A1A1A"/>
                <w:sz w:val="18"/>
              </w:rPr>
              <w:t>04/12/2026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Seguimiento de acciones</w:t>
      </w:r>
    </w:p>
    <w:p>
      <w:pPr>
        <w:keepNext/>
        <w:spacing w:after="40" w:before="0" w:line="264" w:lineRule="auto"/>
      </w:pPr>
      <w:r>
        <w:rPr>
          <w:rFonts w:ascii="Arial" w:hAnsi="Arial"/>
          <w:b/>
          <w:i w:val="0"/>
          <w:color w:val="1A1A1A"/>
          <w:sz w:val="19"/>
        </w:rPr>
        <w:t>P7.1. Estado, retraso y motivo de cada acción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958"/>
            <w:vAlign w:val="top"/>
            <w:shd w:val="clear" w:color="auto" w:fill="F2F2F2"/>
          </w:tcPr>
          <w:p>
            <w:pPr>
              <w:spacing w:before="30" w:after="30" w:line="240" w:lineRule="auto"/>
              <w:jc w:val="left"/>
            </w:pPr>
            <w:r>
              <w:rPr>
                <w:rFonts w:ascii="Arial" w:hAnsi="Arial"/>
                <w:b/>
                <w:color w:val="1A1A1A"/>
                <w:sz w:val="18"/>
              </w:rPr>
              <w:t>Nº acción</w:t>
            </w:r>
          </w:p>
          <w:p>
            <w:pPr>
              <w:spacing w:after="0"/>
            </w:pPr>
            <w:r>
              <w:rPr>
                <w:i/>
                <w:color w:val="808080"/>
                <w:sz w:val="14"/>
              </w:rPr>
              <w:t>obligatorio</w:t>
            </w:r>
          </w:p>
        </w:tc>
        <w:tc>
          <w:tcPr>
            <w:tcW w:type="dxa" w:w="362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19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491"/>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599"/>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Días de retraso</w:t>
            </w:r>
          </w:p>
          <w:p>
            <w:pPr>
              <w:spacing w:after="0"/>
            </w:pPr>
            <w:r>
              <w:rPr>
                <w:i/>
                <w:color w:val="808080"/>
                <w:sz w:val="14"/>
              </w:rPr>
              <w:t>opcional</w:t>
            </w:r>
          </w:p>
        </w:tc>
        <w:tc>
          <w:tcPr>
            <w:tcW w:type="dxa" w:w="2772"/>
            <w:vAlign w:val="top"/>
            <w:shd w:val="clear" w:color="auto" w:fill="F2F2F2"/>
          </w:tcPr>
          <w:p>
            <w:pPr>
              <w:spacing w:before="30" w:after="30" w:line="240" w:lineRule="auto"/>
              <w:jc w:val="left"/>
            </w:pPr>
            <w:r>
              <w:rPr>
                <w:rFonts w:ascii="Arial" w:hAnsi="Arial"/>
                <w:b/>
                <w:color w:val="1A1A1A"/>
                <w:sz w:val="18"/>
              </w:rPr>
              <w:t>Motivo del retraso o del cambio</w:t>
            </w:r>
          </w:p>
          <w:p>
            <w:pPr>
              <w:spacing w:after="0"/>
            </w:pPr>
            <w:r>
              <w:rPr>
                <w:i/>
                <w:color w:val="808080"/>
                <w:sz w:val="14"/>
              </w:rPr>
              <w:t>opcional</w:t>
            </w:r>
          </w:p>
        </w:tc>
        <w:tc>
          <w:tcPr>
            <w:tcW w:type="dxa" w:w="1491"/>
            <w:vAlign w:val="top"/>
            <w:shd w:val="clear" w:color="auto" w:fill="F2F2F2"/>
          </w:tcPr>
          <w:p>
            <w:pPr>
              <w:spacing w:before="30" w:after="30" w:line="240" w:lineRule="auto"/>
              <w:jc w:val="left"/>
            </w:pPr>
            <w:r>
              <w:rPr>
                <w:rFonts w:ascii="Arial" w:hAnsi="Arial"/>
                <w:b/>
                <w:color w:val="1A1A1A"/>
                <w:sz w:val="18"/>
              </w:rPr>
              <w:t>Nueva fecha</w:t>
            </w:r>
          </w:p>
          <w:p>
            <w:pPr>
              <w:spacing w:after="0"/>
            </w:pPr>
            <w:r>
              <w:rPr>
                <w:i/>
                <w:color w:val="808080"/>
                <w:sz w:val="14"/>
              </w:rPr>
              <w:t>opcional</w:t>
            </w:r>
          </w:p>
        </w:tc>
      </w:tr>
      <w:tr>
        <w:trPr>
          <w:cantSplit/>
        </w:trPr>
        <w:tc>
          <w:tcPr>
            <w:tcW w:type="dxa" w:w="958"/>
            <w:vAlign w:val="top"/>
          </w:tcPr>
          <w:p>
            <w:pPr>
              <w:spacing w:before="30" w:after="30" w:line="240" w:lineRule="auto"/>
              <w:jc w:val="left"/>
            </w:pPr>
            <w:r>
              <w:rPr>
                <w:rFonts w:ascii="Arial" w:hAnsi="Arial"/>
                <w:b w:val="0"/>
                <w:color w:val="1A1A1A"/>
                <w:sz w:val="18"/>
              </w:rPr>
              <w:t>1</w:t>
            </w:r>
          </w:p>
        </w:tc>
        <w:tc>
          <w:tcPr>
            <w:tcW w:type="dxa" w:w="3623"/>
            <w:vAlign w:val="top"/>
          </w:tcPr>
          <w:p>
            <w:pPr>
              <w:spacing w:before="30" w:after="30" w:line="240" w:lineRule="auto"/>
              <w:jc w:val="left"/>
            </w:pPr>
            <w:r>
              <w:rPr>
                <w:rFonts w:ascii="Arial" w:hAnsi="Arial"/>
                <w:b w:val="0"/>
                <w:color w:val="1A1A1A"/>
                <w:sz w:val="18"/>
              </w:rPr>
              <w:t>Puntos de anclaje certificados en los cuatro faldones</w:t>
            </w:r>
          </w:p>
        </w:tc>
        <w:tc>
          <w:tcPr>
            <w:tcW w:type="dxa" w:w="1916"/>
            <w:vAlign w:val="top"/>
          </w:tcPr>
          <w:p>
            <w:pPr>
              <w:spacing w:before="30" w:after="30" w:line="240" w:lineRule="auto"/>
              <w:jc w:val="left"/>
            </w:pPr>
            <w:r>
              <w:rPr>
                <w:rFonts w:ascii="Arial" w:hAnsi="Arial"/>
                <w:b w:val="0"/>
                <w:color w:val="1A1A1A"/>
                <w:sz w:val="18"/>
              </w:rPr>
              <w:t>L. Herrero</w:t>
            </w:r>
          </w:p>
        </w:tc>
        <w:tc>
          <w:tcPr>
            <w:tcW w:type="dxa" w:w="1491"/>
            <w:vAlign w:val="top"/>
          </w:tcPr>
          <w:p>
            <w:pPr>
              <w:spacing w:before="30" w:after="30" w:line="240" w:lineRule="auto"/>
              <w:jc w:val="left"/>
            </w:pPr>
            <w:r>
              <w:rPr>
                <w:rFonts w:ascii="Arial" w:hAnsi="Arial"/>
                <w:b w:val="0"/>
                <w:color w:val="1A1A1A"/>
                <w:sz w:val="18"/>
              </w:rPr>
              <w:t>28/10/2026</w:t>
            </w:r>
          </w:p>
        </w:tc>
        <w:tc>
          <w:tcPr>
            <w:tcW w:type="dxa" w:w="1599"/>
            <w:vAlign w:val="top"/>
          </w:tcPr>
          <w:p>
            <w:pPr>
              <w:spacing w:before="30" w:after="30" w:line="240" w:lineRule="auto"/>
              <w:jc w:val="left"/>
            </w:pPr>
            <w:r>
              <w:rPr>
                <w:rFonts w:ascii="Arial" w:hAnsi="Arial"/>
                <w:b w:val="0"/>
                <w:color w:val="1A1A1A"/>
                <w:sz w:val="18"/>
              </w:rPr>
              <w:t>Verificada</w:t>
            </w:r>
          </w:p>
        </w:tc>
        <w:tc>
          <w:tcPr>
            <w:tcW w:type="dxa" w:w="1281"/>
            <w:vAlign w:val="top"/>
          </w:tcPr>
          <w:p>
            <w:pPr>
              <w:spacing w:before="30" w:after="30" w:line="240" w:lineRule="auto"/>
              <w:jc w:val="left"/>
            </w:pPr>
            <w:r>
              <w:rPr>
                <w:rFonts w:ascii="Arial" w:hAnsi="Arial"/>
                <w:b w:val="0"/>
                <w:color w:val="1A1A1A"/>
                <w:sz w:val="18"/>
              </w:rPr>
              <w:t>0</w:t>
            </w:r>
          </w:p>
        </w:tc>
        <w:tc>
          <w:tcPr>
            <w:tcW w:type="dxa" w:w="2772"/>
            <w:vAlign w:val="top"/>
          </w:tcPr>
          <w:p>
            <w:pPr>
              <w:spacing w:before="30" w:after="30" w:line="240" w:lineRule="auto"/>
              <w:jc w:val="left"/>
            </w:pPr>
            <w:r>
              <w:rPr>
                <w:rFonts w:ascii="Arial" w:hAnsi="Arial"/>
                <w:b w:val="0"/>
                <w:color w:val="1A1A1A"/>
                <w:sz w:val="18"/>
              </w:rPr>
              <w:t>Instalados y certificados por técnico competente el 24/10/2026</w:t>
            </w:r>
          </w:p>
        </w:tc>
        <w:tc>
          <w:tcPr>
            <w:tcW w:type="dxa" w:w="1491"/>
            <w:vAlign w:val="top"/>
          </w:tcPr>
          <w:p>
            <w:pPr>
              <w:spacing w:before="30" w:after="30" w:line="240" w:lineRule="auto"/>
              <w:jc w:val="left"/>
            </w:pPr>
            <w:r>
              <w:rPr>
                <w:rFonts w:ascii="Arial" w:hAnsi="Arial"/>
                <w:b w:val="0"/>
                <w:color w:val="1A1A1A"/>
                <w:sz w:val="18"/>
              </w:rPr>
              <w:t>—</w:t>
            </w:r>
          </w:p>
        </w:tc>
      </w:tr>
      <w:tr>
        <w:trPr>
          <w:cantSplit/>
        </w:trPr>
        <w:tc>
          <w:tcPr>
            <w:tcW w:type="dxa" w:w="958"/>
            <w:vAlign w:val="top"/>
          </w:tcPr>
          <w:p>
            <w:pPr>
              <w:spacing w:before="30" w:after="30" w:line="240" w:lineRule="auto"/>
              <w:jc w:val="left"/>
            </w:pPr>
            <w:r>
              <w:rPr>
                <w:rFonts w:ascii="Arial" w:hAnsi="Arial"/>
                <w:b w:val="0"/>
                <w:color w:val="1A1A1A"/>
                <w:sz w:val="18"/>
              </w:rPr>
              <w:t>2</w:t>
            </w:r>
          </w:p>
        </w:tc>
        <w:tc>
          <w:tcPr>
            <w:tcW w:type="dxa" w:w="3623"/>
            <w:vAlign w:val="top"/>
          </w:tcPr>
          <w:p>
            <w:pPr>
              <w:spacing w:before="30" w:after="30" w:line="240" w:lineRule="auto"/>
              <w:jc w:val="left"/>
            </w:pPr>
            <w:r>
              <w:rPr>
                <w:rFonts w:ascii="Arial" w:hAnsi="Arial"/>
                <w:b w:val="0"/>
                <w:color w:val="1A1A1A"/>
                <w:sz w:val="18"/>
              </w:rPr>
              <w:t>Plataforma de trabajo en el faldón norte, con fecha en el programa</w:t>
            </w:r>
          </w:p>
        </w:tc>
        <w:tc>
          <w:tcPr>
            <w:tcW w:type="dxa" w:w="1916"/>
            <w:vAlign w:val="top"/>
          </w:tcPr>
          <w:p>
            <w:pPr>
              <w:spacing w:before="30" w:after="30" w:line="240" w:lineRule="auto"/>
              <w:jc w:val="left"/>
            </w:pPr>
            <w:r>
              <w:rPr>
                <w:rFonts w:ascii="Arial" w:hAnsi="Arial"/>
                <w:b w:val="0"/>
                <w:color w:val="1A1A1A"/>
                <w:sz w:val="18"/>
              </w:rPr>
              <w:t>L. Herrero</w:t>
            </w:r>
          </w:p>
        </w:tc>
        <w:tc>
          <w:tcPr>
            <w:tcW w:type="dxa" w:w="1491"/>
            <w:vAlign w:val="top"/>
          </w:tcPr>
          <w:p>
            <w:pPr>
              <w:spacing w:before="30" w:after="30" w:line="240" w:lineRule="auto"/>
              <w:jc w:val="left"/>
            </w:pPr>
            <w:r>
              <w:rPr>
                <w:rFonts w:ascii="Arial" w:hAnsi="Arial"/>
                <w:b w:val="0"/>
                <w:color w:val="1A1A1A"/>
                <w:sz w:val="18"/>
              </w:rPr>
              <w:t>30/10/2026</w:t>
            </w:r>
          </w:p>
        </w:tc>
        <w:tc>
          <w:tcPr>
            <w:tcW w:type="dxa" w:w="1599"/>
            <w:vAlign w:val="top"/>
          </w:tcPr>
          <w:p>
            <w:pPr>
              <w:spacing w:before="30" w:after="30" w:line="240" w:lineRule="auto"/>
              <w:jc w:val="left"/>
            </w:pPr>
            <w:r>
              <w:rPr>
                <w:rFonts w:ascii="Arial" w:hAnsi="Arial"/>
                <w:b w:val="0"/>
                <w:color w:val="1A1A1A"/>
                <w:sz w:val="18"/>
              </w:rPr>
              <w:t>En curso</w:t>
            </w:r>
          </w:p>
        </w:tc>
        <w:tc>
          <w:tcPr>
            <w:tcW w:type="dxa" w:w="1281"/>
            <w:vAlign w:val="top"/>
          </w:tcPr>
          <w:p>
            <w:pPr>
              <w:spacing w:before="30" w:after="30" w:line="240" w:lineRule="auto"/>
              <w:jc w:val="left"/>
            </w:pPr>
            <w:r>
              <w:rPr>
                <w:rFonts w:ascii="Arial" w:hAnsi="Arial"/>
                <w:b w:val="0"/>
                <w:color w:val="1A1A1A"/>
                <w:sz w:val="18"/>
              </w:rPr>
              <w:t>21</w:t>
            </w:r>
          </w:p>
        </w:tc>
        <w:tc>
          <w:tcPr>
            <w:tcW w:type="dxa" w:w="2772"/>
            <w:vAlign w:val="top"/>
          </w:tcPr>
          <w:p>
            <w:pPr>
              <w:spacing w:before="30" w:after="30" w:line="240" w:lineRule="auto"/>
              <w:jc w:val="left"/>
            </w:pPr>
            <w:r>
              <w:rPr>
                <w:rFonts w:ascii="Arial" w:hAnsi="Arial"/>
                <w:b w:val="0"/>
                <w:color w:val="1A1A1A"/>
                <w:sz w:val="18"/>
              </w:rPr>
              <w:t>El material llega el 12/11/2026. La fecha se déplaza porque la fecha de la acción se fijó sin contar con el plazo de suministro, que no estaba en el programa</w:t>
            </w:r>
          </w:p>
        </w:tc>
        <w:tc>
          <w:tcPr>
            <w:tcW w:type="dxa" w:w="1491"/>
            <w:vAlign w:val="top"/>
          </w:tcPr>
          <w:p>
            <w:pPr>
              <w:spacing w:before="30" w:after="30" w:line="240" w:lineRule="auto"/>
              <w:jc w:val="left"/>
            </w:pPr>
            <w:r>
              <w:rPr>
                <w:rFonts w:ascii="Arial" w:hAnsi="Arial"/>
                <w:b w:val="0"/>
                <w:color w:val="1A1A1A"/>
                <w:sz w:val="18"/>
              </w:rPr>
              <w:t>12/11/2026</w:t>
            </w:r>
          </w:p>
        </w:tc>
      </w:tr>
      <w:tr>
        <w:trPr>
          <w:cantSplit/>
        </w:trPr>
        <w:tc>
          <w:tcPr>
            <w:tcW w:type="dxa" w:w="958"/>
            <w:vAlign w:val="top"/>
          </w:tcPr>
          <w:p>
            <w:pPr>
              <w:spacing w:before="30" w:after="30" w:line="240" w:lineRule="auto"/>
              <w:jc w:val="left"/>
            </w:pPr>
            <w:r>
              <w:rPr>
                <w:rFonts w:ascii="Arial" w:hAnsi="Arial"/>
                <w:b w:val="0"/>
                <w:color w:val="1A1A1A"/>
                <w:sz w:val="18"/>
              </w:rPr>
              <w:t>3</w:t>
            </w:r>
          </w:p>
        </w:tc>
        <w:tc>
          <w:tcPr>
            <w:tcW w:type="dxa" w:w="3623"/>
            <w:vAlign w:val="top"/>
          </w:tcPr>
          <w:p>
            <w:pPr>
              <w:spacing w:before="30" w:after="30" w:line="240" w:lineRule="auto"/>
              <w:jc w:val="left"/>
            </w:pPr>
            <w:r>
              <w:rPr>
                <w:rFonts w:ascii="Arial" w:hAnsi="Arial"/>
                <w:b w:val="0"/>
                <w:color w:val="1A1A1A"/>
                <w:sz w:val="18"/>
              </w:rPr>
              <w:t>Procedimiento de acopio y corte de izaje con acotado y aviso</w:t>
            </w:r>
          </w:p>
        </w:tc>
        <w:tc>
          <w:tcPr>
            <w:tcW w:type="dxa" w:w="1916"/>
            <w:vAlign w:val="top"/>
          </w:tcPr>
          <w:p>
            <w:pPr>
              <w:spacing w:before="30" w:after="30" w:line="240" w:lineRule="auto"/>
              <w:jc w:val="left"/>
            </w:pPr>
            <w:r>
              <w:rPr>
                <w:rFonts w:ascii="Arial" w:hAnsi="Arial"/>
                <w:b w:val="0"/>
                <w:color w:val="1A1A1A"/>
                <w:sz w:val="18"/>
              </w:rPr>
              <w:t>M. R. Peña</w:t>
            </w:r>
          </w:p>
        </w:tc>
        <w:tc>
          <w:tcPr>
            <w:tcW w:type="dxa" w:w="1491"/>
            <w:vAlign w:val="top"/>
          </w:tcPr>
          <w:p>
            <w:pPr>
              <w:spacing w:before="30" w:after="30" w:line="240" w:lineRule="auto"/>
              <w:jc w:val="left"/>
            </w:pPr>
            <w:r>
              <w:rPr>
                <w:rFonts w:ascii="Arial" w:hAnsi="Arial"/>
                <w:b w:val="0"/>
                <w:color w:val="1A1A1A"/>
                <w:sz w:val="18"/>
              </w:rPr>
              <w:t>25/10/2026</w:t>
            </w:r>
          </w:p>
        </w:tc>
        <w:tc>
          <w:tcPr>
            <w:tcW w:type="dxa" w:w="1599"/>
            <w:vAlign w:val="top"/>
          </w:tcPr>
          <w:p>
            <w:pPr>
              <w:spacing w:before="30" w:after="30" w:line="240" w:lineRule="auto"/>
              <w:jc w:val="left"/>
            </w:pPr>
            <w:r>
              <w:rPr>
                <w:rFonts w:ascii="Arial" w:hAnsi="Arial"/>
                <w:b w:val="0"/>
                <w:color w:val="1A1A1A"/>
                <w:sz w:val="18"/>
              </w:rPr>
              <w:t>Verificada</w:t>
            </w:r>
          </w:p>
        </w:tc>
        <w:tc>
          <w:tcPr>
            <w:tcW w:type="dxa" w:w="1281"/>
            <w:vAlign w:val="top"/>
          </w:tcPr>
          <w:p>
            <w:pPr>
              <w:spacing w:before="30" w:after="30" w:line="240" w:lineRule="auto"/>
              <w:jc w:val="left"/>
            </w:pPr>
            <w:r>
              <w:rPr>
                <w:rFonts w:ascii="Arial" w:hAnsi="Arial"/>
                <w:b w:val="0"/>
                <w:color w:val="1A1A1A"/>
                <w:sz w:val="18"/>
              </w:rPr>
              <w:t>0</w:t>
            </w:r>
          </w:p>
        </w:tc>
        <w:tc>
          <w:tcPr>
            <w:tcW w:type="dxa" w:w="2772"/>
            <w:vAlign w:val="top"/>
          </w:tcPr>
          <w:p>
            <w:pPr>
              <w:spacing w:before="30" w:after="30" w:line="240" w:lineRule="auto"/>
              <w:jc w:val="left"/>
            </w:pPr>
            <w:r>
              <w:rPr>
                <w:rFonts w:ascii="Arial" w:hAnsi="Arial"/>
                <w:b w:val="0"/>
                <w:color w:val="1A1A1A"/>
                <w:sz w:val="18"/>
              </w:rPr>
              <w:t>Documento firmado el 21/10/2026</w:t>
            </w:r>
          </w:p>
        </w:tc>
        <w:tc>
          <w:tcPr>
            <w:tcW w:type="dxa" w:w="1491"/>
            <w:vAlign w:val="top"/>
          </w:tcPr>
          <w:p>
            <w:pPr>
              <w:spacing w:before="30" w:after="30" w:line="240" w:lineRule="auto"/>
              <w:jc w:val="left"/>
            </w:pPr>
            <w:r>
              <w:rPr>
                <w:rFonts w:ascii="Arial" w:hAnsi="Arial"/>
                <w:b w:val="0"/>
                <w:color w:val="1A1A1A"/>
                <w:sz w:val="18"/>
              </w:rPr>
              <w:t>—</w:t>
            </w:r>
          </w:p>
        </w:tc>
      </w:tr>
      <w:tr>
        <w:trPr>
          <w:cantSplit/>
        </w:trPr>
        <w:tc>
          <w:tcPr>
            <w:tcW w:type="dxa" w:w="958"/>
            <w:vAlign w:val="top"/>
          </w:tcPr>
          <w:p>
            <w:pPr>
              <w:spacing w:before="30" w:after="30" w:line="240" w:lineRule="auto"/>
              <w:jc w:val="left"/>
            </w:pPr>
            <w:r>
              <w:rPr>
                <w:rFonts w:ascii="Arial" w:hAnsi="Arial"/>
                <w:b w:val="0"/>
                <w:color w:val="1A1A1A"/>
                <w:sz w:val="18"/>
              </w:rPr>
              <w:t>4</w:t>
            </w:r>
          </w:p>
        </w:tc>
        <w:tc>
          <w:tcPr>
            <w:tcW w:type="dxa" w:w="3623"/>
            <w:vAlign w:val="top"/>
          </w:tcPr>
          <w:p>
            <w:pPr>
              <w:spacing w:before="30" w:after="30" w:line="240" w:lineRule="auto"/>
              <w:jc w:val="left"/>
            </w:pPr>
            <w:r>
              <w:rPr>
                <w:rFonts w:ascii="Arial" w:hAnsi="Arial"/>
                <w:b w:val="0"/>
                <w:color w:val="1A1A1A"/>
                <w:sz w:val="18"/>
              </w:rPr>
              <w:t>Prohibición de elementos de andamio como apoyo, incluida en la formación</w:t>
            </w:r>
          </w:p>
        </w:tc>
        <w:tc>
          <w:tcPr>
            <w:tcW w:type="dxa" w:w="1916"/>
            <w:vAlign w:val="top"/>
          </w:tcPr>
          <w:p>
            <w:pPr>
              <w:spacing w:before="30" w:after="30" w:line="240" w:lineRule="auto"/>
              <w:jc w:val="left"/>
            </w:pPr>
            <w:r>
              <w:rPr>
                <w:rFonts w:ascii="Arial" w:hAnsi="Arial"/>
                <w:b w:val="0"/>
                <w:color w:val="1A1A1A"/>
                <w:sz w:val="18"/>
              </w:rPr>
              <w:t>J. A. Simón</w:t>
            </w:r>
          </w:p>
        </w:tc>
        <w:tc>
          <w:tcPr>
            <w:tcW w:type="dxa" w:w="1491"/>
            <w:vAlign w:val="top"/>
          </w:tcPr>
          <w:p>
            <w:pPr>
              <w:spacing w:before="30" w:after="30" w:line="240" w:lineRule="auto"/>
              <w:jc w:val="left"/>
            </w:pPr>
            <w:r>
              <w:rPr>
                <w:rFonts w:ascii="Arial" w:hAnsi="Arial"/>
                <w:b w:val="0"/>
                <w:color w:val="1A1A1A"/>
                <w:sz w:val="18"/>
              </w:rPr>
              <w:t>24/10/2026</w:t>
            </w:r>
          </w:p>
        </w:tc>
        <w:tc>
          <w:tcPr>
            <w:tcW w:type="dxa" w:w="1599"/>
            <w:vAlign w:val="top"/>
          </w:tcPr>
          <w:p>
            <w:pPr>
              <w:spacing w:before="30" w:after="30" w:line="240" w:lineRule="auto"/>
              <w:jc w:val="left"/>
            </w:pPr>
            <w:r>
              <w:rPr>
                <w:rFonts w:ascii="Arial" w:hAnsi="Arial"/>
                <w:b w:val="0"/>
                <w:color w:val="1A1A1A"/>
                <w:sz w:val="18"/>
              </w:rPr>
              <w:t>Verificada</w:t>
            </w:r>
          </w:p>
        </w:tc>
        <w:tc>
          <w:tcPr>
            <w:tcW w:type="dxa" w:w="1281"/>
            <w:vAlign w:val="top"/>
          </w:tcPr>
          <w:p>
            <w:pPr>
              <w:spacing w:before="30" w:after="30" w:line="240" w:lineRule="auto"/>
              <w:jc w:val="left"/>
            </w:pPr>
            <w:r>
              <w:rPr>
                <w:rFonts w:ascii="Arial" w:hAnsi="Arial"/>
                <w:b w:val="0"/>
                <w:color w:val="1A1A1A"/>
                <w:sz w:val="18"/>
              </w:rPr>
              <w:t>0</w:t>
            </w:r>
          </w:p>
        </w:tc>
        <w:tc>
          <w:tcPr>
            <w:tcW w:type="dxa" w:w="2772"/>
            <w:vAlign w:val="top"/>
          </w:tcPr>
          <w:p>
            <w:pPr>
              <w:spacing w:before="30" w:after="30" w:line="240" w:lineRule="auto"/>
              <w:jc w:val="left"/>
            </w:pPr>
            <w:r>
              <w:rPr>
                <w:rFonts w:ascii="Arial" w:hAnsi="Arial"/>
                <w:b w:val="0"/>
                <w:color w:val="1A1A1A"/>
                <w:sz w:val="18"/>
              </w:rPr>
              <w:t>Realizado el 20/10/2026 en la sesión de inicio de obra</w:t>
            </w:r>
          </w:p>
        </w:tc>
        <w:tc>
          <w:tcPr>
            <w:tcW w:type="dxa" w:w="1491"/>
            <w:vAlign w:val="top"/>
          </w:tcPr>
          <w:p>
            <w:pPr>
              <w:spacing w:before="30" w:after="30" w:line="240" w:lineRule="auto"/>
              <w:jc w:val="left"/>
            </w:pPr>
            <w:r>
              <w:rPr>
                <w:rFonts w:ascii="Arial" w:hAnsi="Arial"/>
                <w:b w:val="0"/>
                <w:color w:val="1A1A1A"/>
                <w:sz w:val="18"/>
              </w:rPr>
              <w:t>—</w:t>
            </w:r>
          </w:p>
        </w:tc>
      </w:tr>
      <w:tr>
        <w:trPr>
          <w:cantSplit/>
        </w:trPr>
        <w:tc>
          <w:tcPr>
            <w:tcW w:type="dxa" w:w="958"/>
            <w:vAlign w:val="top"/>
          </w:tcPr>
          <w:p>
            <w:pPr>
              <w:spacing w:before="30" w:after="30" w:line="240" w:lineRule="auto"/>
              <w:jc w:val="left"/>
            </w:pPr>
            <w:r>
              <w:rPr>
                <w:rFonts w:ascii="Arial" w:hAnsi="Arial"/>
                <w:b w:val="0"/>
                <w:color w:val="1A1A1A"/>
                <w:sz w:val="18"/>
              </w:rPr>
              <w:t>5</w:t>
            </w:r>
          </w:p>
        </w:tc>
        <w:tc>
          <w:tcPr>
            <w:tcW w:type="dxa" w:w="3623"/>
            <w:vAlign w:val="top"/>
          </w:tcPr>
          <w:p>
            <w:pPr>
              <w:spacing w:before="30" w:after="30" w:line="240" w:lineRule="auto"/>
              <w:jc w:val="left"/>
            </w:pPr>
            <w:r>
              <w:rPr>
                <w:rFonts w:ascii="Arial" w:hAnsi="Arial"/>
                <w:b w:val="0"/>
                <w:color w:val="1A1A1A"/>
                <w:sz w:val="18"/>
              </w:rPr>
              <w:t>Actualización del plan de seguridad y salud con fechas de medios</w:t>
            </w:r>
          </w:p>
        </w:tc>
        <w:tc>
          <w:tcPr>
            <w:tcW w:type="dxa" w:w="1916"/>
            <w:vAlign w:val="top"/>
          </w:tcPr>
          <w:p>
            <w:pPr>
              <w:spacing w:before="30" w:after="30" w:line="240" w:lineRule="auto"/>
              <w:jc w:val="left"/>
            </w:pPr>
            <w:r>
              <w:rPr>
                <w:rFonts w:ascii="Arial" w:hAnsi="Arial"/>
                <w:b w:val="0"/>
                <w:color w:val="1A1A1A"/>
                <w:sz w:val="18"/>
              </w:rPr>
              <w:t>M. R. Peña</w:t>
            </w:r>
          </w:p>
        </w:tc>
        <w:tc>
          <w:tcPr>
            <w:tcW w:type="dxa" w:w="1491"/>
            <w:vAlign w:val="top"/>
          </w:tcPr>
          <w:p>
            <w:pPr>
              <w:spacing w:before="30" w:after="30" w:line="240" w:lineRule="auto"/>
              <w:jc w:val="left"/>
            </w:pPr>
            <w:r>
              <w:rPr>
                <w:rFonts w:ascii="Arial" w:hAnsi="Arial"/>
                <w:b w:val="0"/>
                <w:color w:val="1A1A1A"/>
                <w:sz w:val="18"/>
              </w:rPr>
              <w:t>04/11/2026</w:t>
            </w:r>
          </w:p>
        </w:tc>
        <w:tc>
          <w:tcPr>
            <w:tcW w:type="dxa" w:w="1599"/>
            <w:vAlign w:val="top"/>
          </w:tcPr>
          <w:p>
            <w:pPr>
              <w:spacing w:before="30" w:after="30" w:line="240" w:lineRule="auto"/>
              <w:jc w:val="left"/>
            </w:pPr>
            <w:r>
              <w:rPr>
                <w:rFonts w:ascii="Arial" w:hAnsi="Arial"/>
                <w:b w:val="0"/>
                <w:color w:val="1A1A1A"/>
                <w:sz w:val="18"/>
              </w:rPr>
              <w:t>En curso</w:t>
            </w:r>
          </w:p>
        </w:tc>
        <w:tc>
          <w:tcPr>
            <w:tcW w:type="dxa" w:w="1281"/>
            <w:vAlign w:val="top"/>
          </w:tcPr>
          <w:p>
            <w:pPr>
              <w:spacing w:before="30" w:after="30" w:line="240" w:lineRule="auto"/>
              <w:jc w:val="left"/>
            </w:pPr>
            <w:r>
              <w:rPr>
                <w:rFonts w:ascii="Arial" w:hAnsi="Arial"/>
                <w:b w:val="0"/>
                <w:color w:val="1A1A1A"/>
                <w:sz w:val="18"/>
              </w:rPr>
              <w:t>16</w:t>
            </w:r>
          </w:p>
        </w:tc>
        <w:tc>
          <w:tcPr>
            <w:tcW w:type="dxa" w:w="2772"/>
            <w:vAlign w:val="top"/>
          </w:tcPr>
          <w:p>
            <w:pPr>
              <w:spacing w:before="30" w:after="30" w:line="240" w:lineRule="auto"/>
              <w:jc w:val="left"/>
            </w:pPr>
            <w:r>
              <w:rPr>
                <w:rFonts w:ascii="Arial" w:hAnsi="Arial"/>
                <w:b w:val="0"/>
                <w:color w:val="1A1A1A"/>
                <w:sz w:val="18"/>
              </w:rPr>
              <w:t>Requiere el programa de obra de la promotora, que se ha pedido y no se ha recibido</w:t>
            </w:r>
          </w:p>
        </w:tc>
        <w:tc>
          <w:tcPr>
            <w:tcW w:type="dxa" w:w="1491"/>
            <w:vAlign w:val="top"/>
          </w:tcPr>
          <w:p>
            <w:pPr>
              <w:spacing w:before="30" w:after="30" w:line="240" w:lineRule="auto"/>
              <w:jc w:val="left"/>
            </w:pPr>
            <w:r>
              <w:rPr>
                <w:rFonts w:ascii="Arial" w:hAnsi="Arial"/>
                <w:b w:val="0"/>
                <w:color w:val="1A1A1A"/>
                <w:sz w:val="18"/>
              </w:rPr>
              <w:t>27/11/2026</w:t>
            </w:r>
          </w:p>
        </w:tc>
      </w:tr>
      <w:tr>
        <w:trPr>
          <w:cantSplit/>
        </w:trPr>
        <w:tc>
          <w:tcPr>
            <w:tcW w:type="dxa" w:w="958"/>
            <w:vAlign w:val="top"/>
          </w:tcPr>
          <w:p>
            <w:pPr>
              <w:spacing w:before="30" w:after="30" w:line="240" w:lineRule="auto"/>
              <w:jc w:val="left"/>
            </w:pPr>
            <w:r>
              <w:rPr>
                <w:rFonts w:ascii="Arial" w:hAnsi="Arial"/>
                <w:b w:val="0"/>
                <w:color w:val="1A1A1A"/>
                <w:sz w:val="18"/>
              </w:rPr>
              <w:t>6</w:t>
            </w:r>
          </w:p>
        </w:tc>
        <w:tc>
          <w:tcPr>
            <w:tcW w:type="dxa" w:w="3623"/>
            <w:vAlign w:val="top"/>
          </w:tcPr>
          <w:p>
            <w:pPr>
              <w:spacing w:before="30" w:after="30" w:line="240" w:lineRule="auto"/>
              <w:jc w:val="left"/>
            </w:pPr>
            <w:r>
              <w:rPr>
                <w:rFonts w:ascii="Arial" w:hAnsi="Arial"/>
                <w:b w:val="0"/>
                <w:color w:val="1A1A1A"/>
                <w:sz w:val="18"/>
              </w:rPr>
              <w:t>Registro de entrega de línea de vida compatible con el anclaje</w:t>
            </w:r>
          </w:p>
        </w:tc>
        <w:tc>
          <w:tcPr>
            <w:tcW w:type="dxa" w:w="1916"/>
            <w:vAlign w:val="top"/>
          </w:tcPr>
          <w:p>
            <w:pPr>
              <w:spacing w:before="30" w:after="30" w:line="240" w:lineRule="auto"/>
              <w:jc w:val="left"/>
            </w:pPr>
            <w:r>
              <w:rPr>
                <w:rFonts w:ascii="Arial" w:hAnsi="Arial"/>
                <w:b w:val="0"/>
                <w:color w:val="1A1A1A"/>
                <w:sz w:val="18"/>
              </w:rPr>
              <w:t>Cubierta Segura S.L.</w:t>
            </w:r>
          </w:p>
        </w:tc>
        <w:tc>
          <w:tcPr>
            <w:tcW w:type="dxa" w:w="1491"/>
            <w:vAlign w:val="top"/>
          </w:tcPr>
          <w:p>
            <w:pPr>
              <w:spacing w:before="30" w:after="30" w:line="240" w:lineRule="auto"/>
              <w:jc w:val="left"/>
            </w:pPr>
            <w:r>
              <w:rPr>
                <w:rFonts w:ascii="Arial" w:hAnsi="Arial"/>
                <w:b w:val="0"/>
                <w:color w:val="1A1A1A"/>
                <w:sz w:val="18"/>
              </w:rPr>
              <w:t>25/10/2026</w:t>
            </w:r>
          </w:p>
        </w:tc>
        <w:tc>
          <w:tcPr>
            <w:tcW w:type="dxa" w:w="1599"/>
            <w:vAlign w:val="top"/>
          </w:tcPr>
          <w:p>
            <w:pPr>
              <w:spacing w:before="30" w:after="30" w:line="240" w:lineRule="auto"/>
              <w:jc w:val="left"/>
            </w:pPr>
            <w:r>
              <w:rPr>
                <w:rFonts w:ascii="Arial" w:hAnsi="Arial"/>
                <w:b w:val="0"/>
                <w:color w:val="1A1A1A"/>
                <w:sz w:val="18"/>
              </w:rPr>
              <w:t>Ejecutada</w:t>
            </w:r>
          </w:p>
        </w:tc>
        <w:tc>
          <w:tcPr>
            <w:tcW w:type="dxa" w:w="1281"/>
            <w:vAlign w:val="top"/>
          </w:tcPr>
          <w:p>
            <w:pPr>
              <w:spacing w:before="30" w:after="30" w:line="240" w:lineRule="auto"/>
              <w:jc w:val="left"/>
            </w:pPr>
            <w:r>
              <w:rPr>
                <w:rFonts w:ascii="Arial" w:hAnsi="Arial"/>
                <w:b w:val="0"/>
                <w:color w:val="1A1A1A"/>
                <w:sz w:val="18"/>
              </w:rPr>
              <w:t>0</w:t>
            </w:r>
          </w:p>
        </w:tc>
        <w:tc>
          <w:tcPr>
            <w:tcW w:type="dxa" w:w="2772"/>
            <w:vAlign w:val="top"/>
          </w:tcPr>
          <w:p>
            <w:pPr>
              <w:spacing w:before="30" w:after="30" w:line="240" w:lineRule="auto"/>
              <w:jc w:val="left"/>
            </w:pPr>
            <w:r>
              <w:rPr>
                <w:rFonts w:ascii="Arial" w:hAnsi="Arial"/>
                <w:b w:val="0"/>
                <w:color w:val="1A1A1A"/>
                <w:sz w:val="18"/>
              </w:rPr>
              <w:t>Pendiente de verificación en la próxima inspección</w:t>
            </w:r>
          </w:p>
        </w:tc>
        <w:tc>
          <w:tcPr>
            <w:tcW w:type="dxa" w:w="1491"/>
            <w:vAlign w:val="top"/>
          </w:tcPr>
          <w:p>
            <w:pPr>
              <w:spacing w:before="30" w:after="30" w:line="240" w:lineRule="auto"/>
              <w:jc w:val="left"/>
            </w:pPr>
            <w:r>
              <w:rPr>
                <w:rFonts w:ascii="Arial" w:hAnsi="Arial"/>
                <w:b w:val="0"/>
                <w:color w:val="1A1A1A"/>
                <w:sz w:val="18"/>
              </w:rPr>
              <w:t>—</w:t>
            </w:r>
          </w:p>
        </w:tc>
      </w:tr>
      <w:tr>
        <w:trPr>
          <w:cantSplit/>
        </w:trPr>
        <w:tc>
          <w:tcPr>
            <w:tcW w:type="dxa" w:w="958"/>
            <w:vAlign w:val="top"/>
          </w:tcPr>
          <w:p>
            <w:pPr>
              <w:spacing w:before="30" w:after="30" w:line="240" w:lineRule="auto"/>
              <w:jc w:val="left"/>
            </w:pPr>
            <w:r>
              <w:rPr>
                <w:rFonts w:ascii="Arial" w:hAnsi="Arial"/>
                <w:b w:val="0"/>
                <w:color w:val="1A1A1A"/>
                <w:sz w:val="18"/>
              </w:rPr>
              <w:t>7</w:t>
            </w:r>
          </w:p>
        </w:tc>
        <w:tc>
          <w:tcPr>
            <w:tcW w:type="dxa" w:w="3623"/>
            <w:vAlign w:val="top"/>
          </w:tcPr>
          <w:p>
            <w:pPr>
              <w:spacing w:before="30" w:after="30" w:line="240" w:lineRule="auto"/>
              <w:jc w:val="left"/>
            </w:pPr>
            <w:r>
              <w:rPr>
                <w:rFonts w:ascii="Arial" w:hAnsi="Arial"/>
                <w:b w:val="0"/>
                <w:color w:val="1A1A1A"/>
                <w:sz w:val="18"/>
              </w:rPr>
              <w:t>Entrega de certificado de formación y experiencia a todas las empresas</w:t>
            </w:r>
          </w:p>
        </w:tc>
        <w:tc>
          <w:tcPr>
            <w:tcW w:type="dxa" w:w="1916"/>
            <w:vAlign w:val="top"/>
          </w:tcPr>
          <w:p>
            <w:pPr>
              <w:spacing w:before="30" w:after="30" w:line="240" w:lineRule="auto"/>
              <w:jc w:val="left"/>
            </w:pPr>
            <w:r>
              <w:rPr>
                <w:rFonts w:ascii="Arial" w:hAnsi="Arial"/>
                <w:b w:val="0"/>
                <w:color w:val="1A1A1A"/>
                <w:sz w:val="18"/>
              </w:rPr>
              <w:t>J. A. Simón</w:t>
            </w:r>
          </w:p>
        </w:tc>
        <w:tc>
          <w:tcPr>
            <w:tcW w:type="dxa" w:w="1491"/>
            <w:vAlign w:val="top"/>
          </w:tcPr>
          <w:p>
            <w:pPr>
              <w:spacing w:before="30" w:after="30" w:line="240" w:lineRule="auto"/>
              <w:jc w:val="left"/>
            </w:pPr>
            <w:r>
              <w:rPr>
                <w:rFonts w:ascii="Arial" w:hAnsi="Arial"/>
                <w:b w:val="0"/>
                <w:color w:val="1A1A1A"/>
                <w:sz w:val="18"/>
              </w:rPr>
              <w:t>20/10/2026</w:t>
            </w:r>
          </w:p>
        </w:tc>
        <w:tc>
          <w:tcPr>
            <w:tcW w:type="dxa" w:w="1599"/>
            <w:vAlign w:val="top"/>
          </w:tcPr>
          <w:p>
            <w:pPr>
              <w:spacing w:before="30" w:after="30" w:line="240" w:lineRule="auto"/>
              <w:jc w:val="left"/>
            </w:pPr>
            <w:r>
              <w:rPr>
                <w:rFonts w:ascii="Arial" w:hAnsi="Arial"/>
                <w:b w:val="0"/>
                <w:color w:val="1A1A1A"/>
                <w:sz w:val="18"/>
              </w:rPr>
              <w:t>Verificada</w:t>
            </w:r>
          </w:p>
        </w:tc>
        <w:tc>
          <w:tcPr>
            <w:tcW w:type="dxa" w:w="1281"/>
            <w:vAlign w:val="top"/>
          </w:tcPr>
          <w:p>
            <w:pPr>
              <w:spacing w:before="30" w:after="30" w:line="240" w:lineRule="auto"/>
              <w:jc w:val="left"/>
            </w:pPr>
            <w:r>
              <w:rPr>
                <w:rFonts w:ascii="Arial" w:hAnsi="Arial"/>
                <w:b w:val="0"/>
                <w:color w:val="1A1A1A"/>
                <w:sz w:val="18"/>
              </w:rPr>
              <w:t>0</w:t>
            </w:r>
          </w:p>
        </w:tc>
        <w:tc>
          <w:tcPr>
            <w:tcW w:type="dxa" w:w="2772"/>
            <w:vAlign w:val="top"/>
          </w:tcPr>
          <w:p>
            <w:pPr>
              <w:spacing w:before="30" w:after="30" w:line="240" w:lineRule="auto"/>
              <w:jc w:val="left"/>
            </w:pPr>
            <w:r>
              <w:rPr>
                <w:rFonts w:ascii="Arial" w:hAnsi="Arial"/>
                <w:b w:val="0"/>
                <w:color w:val="1A1A1A"/>
                <w:sz w:val="18"/>
              </w:rPr>
              <w:t>Recibidos de las tres empresas. Falta el de un trabajador-temporal que cause baja en noviembre</w:t>
            </w:r>
          </w:p>
        </w:tc>
        <w:tc>
          <w:tcPr>
            <w:tcW w:type="dxa" w:w="1491"/>
            <w:vAlign w:val="top"/>
          </w:tcPr>
          <w:p>
            <w:pPr>
              <w:spacing w:before="30" w:after="30" w:line="240" w:lineRule="auto"/>
              <w:jc w:val="left"/>
            </w:pPr>
            <w:r>
              <w:rPr>
                <w:rFonts w:ascii="Arial" w:hAnsi="Arial"/>
                <w:b w:val="0"/>
                <w:color w:val="1A1A1A"/>
                <w:sz w:val="18"/>
              </w:rPr>
              <w:t>—</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Comprobación de eficacia</w:t>
      </w:r>
    </w:p>
    <w:p>
      <w:pPr>
        <w:keepNext/>
        <w:spacing w:after="40" w:before="0" w:line="264" w:lineRule="auto"/>
      </w:pPr>
      <w:r>
        <w:rPr>
          <w:rFonts w:ascii="Arial" w:hAnsi="Arial"/>
          <w:b/>
          <w:i w:val="0"/>
          <w:color w:val="1A1A1A"/>
          <w:sz w:val="19"/>
        </w:rPr>
        <w:t>P7.2. Indicadores medidos antes y después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1892"/>
        <w:gridCol w:w="1892"/>
        <w:gridCol w:w="1892"/>
        <w:gridCol w:w="1892"/>
        <w:gridCol w:w="1892"/>
        <w:gridCol w:w="1892"/>
        <w:gridCol w:w="1892"/>
        <w:gridCol w:w="1892"/>
      </w:tblGrid>
      <w:tr>
        <w:trPr>
          <w:tblHeader w:val="true"/>
          <w:cantSplit/>
        </w:trPr>
        <w:tc>
          <w:tcPr>
            <w:tcW w:type="dxa" w:w="913"/>
            <w:vAlign w:val="top"/>
            <w:shd w:val="clear" w:color="auto" w:fill="F2F2F2"/>
          </w:tcPr>
          <w:p>
            <w:pPr>
              <w:spacing w:before="30" w:after="30" w:line="240" w:lineRule="auto"/>
              <w:jc w:val="left"/>
            </w:pPr>
            <w:r>
              <w:rPr>
                <w:rFonts w:ascii="Arial" w:hAnsi="Arial"/>
                <w:b/>
                <w:color w:val="1A1A1A"/>
                <w:sz w:val="18"/>
              </w:rPr>
              <w:t>Nº acción</w:t>
            </w:r>
          </w:p>
          <w:p>
            <w:pPr>
              <w:spacing w:after="0"/>
            </w:pPr>
            <w:r>
              <w:rPr>
                <w:i/>
                <w:color w:val="808080"/>
                <w:sz w:val="14"/>
              </w:rPr>
              <w:t>obligatorio</w:t>
            </w:r>
          </w:p>
        </w:tc>
        <w:tc>
          <w:tcPr>
            <w:tcW w:type="dxa" w:w="3050"/>
            <w:vAlign w:val="top"/>
            <w:shd w:val="clear" w:color="auto" w:fill="F2F2F2"/>
          </w:tcPr>
          <w:p>
            <w:pPr>
              <w:spacing w:before="30" w:after="30" w:line="240" w:lineRule="auto"/>
              <w:jc w:val="left"/>
            </w:pPr>
            <w:r>
              <w:rPr>
                <w:rFonts w:ascii="Arial" w:hAnsi="Arial"/>
                <w:b/>
                <w:color w:val="1A1A1A"/>
                <w:sz w:val="18"/>
              </w:rPr>
              <w:t>Indicador</w:t>
            </w:r>
          </w:p>
          <w:p>
            <w:pPr>
              <w:spacing w:after="0"/>
            </w:pPr>
            <w:r>
              <w:rPr>
                <w:i/>
                <w:color w:val="808080"/>
                <w:sz w:val="14"/>
              </w:rPr>
              <w:t>obligatorio</w:t>
            </w:r>
          </w:p>
        </w:tc>
        <w:tc>
          <w:tcPr>
            <w:tcW w:type="dxa" w:w="2642"/>
            <w:vAlign w:val="top"/>
            <w:shd w:val="clear" w:color="auto" w:fill="F2F2F2"/>
          </w:tcPr>
          <w:p>
            <w:pPr>
              <w:spacing w:before="30" w:after="30" w:line="240" w:lineRule="auto"/>
              <w:jc w:val="left"/>
            </w:pPr>
            <w:r>
              <w:rPr>
                <w:rFonts w:ascii="Arial" w:hAnsi="Arial"/>
                <w:b/>
                <w:color w:val="1A1A1A"/>
                <w:sz w:val="18"/>
              </w:rPr>
              <w:t>Cómo se mide</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Valor antes</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Valor después</w:t>
            </w:r>
          </w:p>
          <w:p>
            <w:pPr>
              <w:spacing w:after="0"/>
            </w:pPr>
            <w:r>
              <w:rPr>
                <w:i/>
                <w:color w:val="808080"/>
                <w:sz w:val="14"/>
              </w:rPr>
              <w:t>obligatorio</w:t>
            </w:r>
          </w:p>
        </w:tc>
        <w:tc>
          <w:tcPr>
            <w:tcW w:type="dxa" w:w="1423"/>
            <w:vAlign w:val="top"/>
            <w:shd w:val="clear" w:color="auto" w:fill="F2F2F2"/>
          </w:tcPr>
          <w:p>
            <w:pPr>
              <w:spacing w:before="30" w:after="30" w:line="240" w:lineRule="auto"/>
              <w:jc w:val="left"/>
            </w:pPr>
            <w:r>
              <w:rPr>
                <w:rFonts w:ascii="Arial" w:hAnsi="Arial"/>
                <w:b/>
                <w:color w:val="1A1A1A"/>
                <w:sz w:val="18"/>
              </w:rPr>
              <w:t>Periodo</w:t>
            </w:r>
          </w:p>
          <w:p>
            <w:pPr>
              <w:spacing w:after="0"/>
            </w:pPr>
            <w:r>
              <w:rPr>
                <w:i/>
                <w:color w:val="808080"/>
                <w:sz w:val="14"/>
              </w:rPr>
              <w:t>obligatorio</w:t>
            </w:r>
          </w:p>
        </w:tc>
        <w:tc>
          <w:tcPr>
            <w:tcW w:type="dxa" w:w="1627"/>
            <w:vAlign w:val="top"/>
            <w:shd w:val="clear" w:color="auto" w:fill="F2F2F2"/>
          </w:tcPr>
          <w:p>
            <w:pPr>
              <w:spacing w:before="30" w:after="30" w:line="240" w:lineRule="auto"/>
              <w:jc w:val="left"/>
            </w:pPr>
            <w:r>
              <w:rPr>
                <w:rFonts w:ascii="Arial" w:hAnsi="Arial"/>
                <w:b/>
                <w:color w:val="1A1A1A"/>
                <w:sz w:val="18"/>
              </w:rPr>
              <w:t>Resultado</w:t>
            </w:r>
          </w:p>
          <w:p>
            <w:pPr>
              <w:spacing w:after="0"/>
            </w:pPr>
            <w:r>
              <w:rPr>
                <w:i/>
                <w:color w:val="808080"/>
                <w:sz w:val="14"/>
              </w:rPr>
              <w:t>obligatorio</w:t>
            </w:r>
          </w:p>
        </w:tc>
        <w:tc>
          <w:tcPr>
            <w:tcW w:type="dxa" w:w="2642"/>
            <w:vAlign w:val="top"/>
            <w:shd w:val="clear" w:color="auto" w:fill="F2F2F2"/>
          </w:tcPr>
          <w:p>
            <w:pPr>
              <w:spacing w:before="30" w:after="30" w:line="240" w:lineRule="auto"/>
              <w:jc w:val="left"/>
            </w:pPr>
            <w:r>
              <w:rPr>
                <w:rFonts w:ascii="Arial" w:hAnsi="Arial"/>
                <w:b/>
                <w:color w:val="1A1A1A"/>
                <w:sz w:val="18"/>
              </w:rPr>
              <w:t>Criterio aplicado</w:t>
            </w:r>
          </w:p>
          <w:p>
            <w:pPr>
              <w:spacing w:after="0"/>
            </w:pPr>
            <w:r>
              <w:rPr>
                <w:i/>
                <w:color w:val="808080"/>
                <w:sz w:val="14"/>
              </w:rPr>
              <w:t>obligatorio</w:t>
            </w:r>
          </w:p>
        </w:tc>
      </w:tr>
      <w:tr>
        <w:trPr>
          <w:cantSplit/>
        </w:trPr>
        <w:tc>
          <w:tcPr>
            <w:tcW w:type="dxa" w:w="913"/>
            <w:vAlign w:val="top"/>
          </w:tcPr>
          <w:p>
            <w:pPr>
              <w:spacing w:before="30" w:after="30" w:line="240" w:lineRule="auto"/>
              <w:jc w:val="left"/>
            </w:pPr>
            <w:r>
              <w:rPr>
                <w:rFonts w:ascii="Arial" w:hAnsi="Arial"/>
                <w:b w:val="0"/>
                <w:color w:val="1A1A1A"/>
                <w:sz w:val="18"/>
              </w:rPr>
              <w:t>1</w:t>
            </w:r>
          </w:p>
        </w:tc>
        <w:tc>
          <w:tcPr>
            <w:tcW w:type="dxa" w:w="3050"/>
            <w:vAlign w:val="top"/>
          </w:tcPr>
          <w:p>
            <w:pPr>
              <w:spacing w:before="30" w:after="30" w:line="240" w:lineRule="auto"/>
              <w:jc w:val="left"/>
            </w:pPr>
            <w:r>
              <w:rPr>
                <w:rFonts w:ascii="Arial" w:hAnsi="Arial"/>
                <w:b w:val="0"/>
                <w:color w:val="1A1A1A"/>
                <w:sz w:val="18"/>
              </w:rPr>
              <w:t>Faldones con anclaje verificado frente a faldones con personas trabajando</w:t>
            </w:r>
          </w:p>
        </w:tc>
        <w:tc>
          <w:tcPr>
            <w:tcW w:type="dxa" w:w="2642"/>
            <w:vAlign w:val="top"/>
          </w:tcPr>
          <w:p>
            <w:pPr>
              <w:spacing w:before="30" w:after="30" w:line="240" w:lineRule="auto"/>
              <w:jc w:val="left"/>
            </w:pPr>
            <w:r>
              <w:rPr>
                <w:rFonts w:ascii="Arial" w:hAnsi="Arial"/>
                <w:b w:val="0"/>
                <w:color w:val="1A1A1A"/>
                <w:sz w:val="18"/>
              </w:rPr>
              <w:t>Recuento en la inspección mensual de obra</w:t>
            </w:r>
          </w:p>
        </w:tc>
        <w:tc>
          <w:tcPr>
            <w:tcW w:type="dxa" w:w="1423"/>
            <w:vAlign w:val="top"/>
          </w:tcPr>
          <w:p>
            <w:pPr>
              <w:spacing w:before="30" w:after="30" w:line="240" w:lineRule="auto"/>
              <w:jc w:val="left"/>
            </w:pPr>
            <w:r>
              <w:rPr>
                <w:rFonts w:ascii="Arial" w:hAnsi="Arial"/>
                <w:b w:val="0"/>
                <w:color w:val="1A1A1A"/>
                <w:sz w:val="18"/>
              </w:rPr>
              <w:t>0 de 4</w:t>
            </w:r>
          </w:p>
        </w:tc>
        <w:tc>
          <w:tcPr>
            <w:tcW w:type="dxa" w:w="1423"/>
            <w:vAlign w:val="top"/>
          </w:tcPr>
          <w:p>
            <w:pPr>
              <w:spacing w:before="30" w:after="30" w:line="240" w:lineRule="auto"/>
              <w:jc w:val="left"/>
            </w:pPr>
            <w:r>
              <w:rPr>
                <w:rFonts w:ascii="Arial" w:hAnsi="Arial"/>
                <w:b w:val="0"/>
                <w:color w:val="1A1A1A"/>
                <w:sz w:val="18"/>
              </w:rPr>
              <w:t>4 de 4</w:t>
            </w:r>
          </w:p>
        </w:tc>
        <w:tc>
          <w:tcPr>
            <w:tcW w:type="dxa" w:w="1423"/>
            <w:vAlign w:val="top"/>
          </w:tcPr>
          <w:p>
            <w:pPr>
              <w:spacing w:before="30" w:after="30" w:line="240" w:lineRule="auto"/>
              <w:jc w:val="left"/>
            </w:pPr>
            <w:r>
              <w:rPr>
                <w:rFonts w:ascii="Arial" w:hAnsi="Arial"/>
                <w:b w:val="0"/>
                <w:color w:val="1A1A1A"/>
                <w:sz w:val="18"/>
              </w:rPr>
              <w:t>Del 24/10 al 20/11/2026</w:t>
            </w:r>
          </w:p>
        </w:tc>
        <w:tc>
          <w:tcPr>
            <w:tcW w:type="dxa" w:w="1627"/>
            <w:vAlign w:val="top"/>
          </w:tcPr>
          <w:p>
            <w:pPr>
              <w:spacing w:before="30" w:after="30" w:line="240" w:lineRule="auto"/>
              <w:jc w:val="left"/>
            </w:pPr>
            <w:r>
              <w:rPr>
                <w:rFonts w:ascii="Arial" w:hAnsi="Arial"/>
                <w:b w:val="0"/>
                <w:color w:val="1A1A1A"/>
                <w:sz w:val="18"/>
              </w:rPr>
              <w:t>Eficaz</w:t>
            </w:r>
          </w:p>
        </w:tc>
        <w:tc>
          <w:tcPr>
            <w:tcW w:type="dxa" w:w="2642"/>
            <w:vAlign w:val="top"/>
          </w:tcPr>
          <w:p>
            <w:pPr>
              <w:spacing w:before="30" w:after="30" w:line="240" w:lineRule="auto"/>
              <w:jc w:val="left"/>
            </w:pPr>
            <w:r>
              <w:rPr>
                <w:rFonts w:ascii="Arial" w:hAnsi="Arial"/>
                <w:b w:val="0"/>
                <w:color w:val="1A1A1A"/>
                <w:sz w:val="18"/>
              </w:rPr>
              <w:t>Se considera eficaz cuando ningún faldón con personas trabajando carece de anclaje verificado</w:t>
            </w:r>
          </w:p>
        </w:tc>
      </w:tr>
      <w:tr>
        <w:trPr>
          <w:cantSplit/>
        </w:trPr>
        <w:tc>
          <w:tcPr>
            <w:tcW w:type="dxa" w:w="913"/>
            <w:vAlign w:val="top"/>
          </w:tcPr>
          <w:p>
            <w:pPr>
              <w:spacing w:before="30" w:after="30" w:line="240" w:lineRule="auto"/>
              <w:jc w:val="left"/>
            </w:pPr>
            <w:r>
              <w:rPr>
                <w:rFonts w:ascii="Arial" w:hAnsi="Arial"/>
                <w:b w:val="0"/>
                <w:color w:val="1A1A1A"/>
                <w:sz w:val="18"/>
              </w:rPr>
              <w:t>2</w:t>
            </w:r>
          </w:p>
        </w:tc>
        <w:tc>
          <w:tcPr>
            <w:tcW w:type="dxa" w:w="3050"/>
            <w:vAlign w:val="top"/>
          </w:tcPr>
          <w:p>
            <w:pPr>
              <w:spacing w:before="30" w:after="30" w:line="240" w:lineRule="auto"/>
              <w:jc w:val="left"/>
            </w:pPr>
            <w:r>
              <w:rPr>
                <w:rFonts w:ascii="Arial" w:hAnsi="Arial"/>
                <w:b w:val="0"/>
                <w:color w:val="1A1A1A"/>
                <w:sz w:val="18"/>
              </w:rPr>
              <w:t>Días de trabajo en faldón sin plataforma instalada</w:t>
            </w:r>
          </w:p>
        </w:tc>
        <w:tc>
          <w:tcPr>
            <w:tcW w:type="dxa" w:w="2642"/>
            <w:vAlign w:val="top"/>
          </w:tcPr>
          <w:p>
            <w:pPr>
              <w:spacing w:before="30" w:after="30" w:line="240" w:lineRule="auto"/>
              <w:jc w:val="left"/>
            </w:pPr>
            <w:r>
              <w:rPr>
                <w:rFonts w:ascii="Arial" w:hAnsi="Arial"/>
                <w:b w:val="0"/>
                <w:color w:val="1A1A1A"/>
                <w:sz w:val="18"/>
              </w:rPr>
              <w:t>Parte de trabajo y inspección</w:t>
            </w:r>
          </w:p>
        </w:tc>
        <w:tc>
          <w:tcPr>
            <w:tcW w:type="dxa" w:w="1423"/>
            <w:vAlign w:val="top"/>
          </w:tcPr>
          <w:p>
            <w:pPr>
              <w:spacing w:before="30" w:after="30" w:line="240" w:lineRule="auto"/>
              <w:jc w:val="left"/>
            </w:pPr>
            <w:r>
              <w:rPr>
                <w:rFonts w:ascii="Arial" w:hAnsi="Arial"/>
                <w:b w:val="0"/>
                <w:color w:val="1A1A1A"/>
                <w:sz w:val="18"/>
              </w:rPr>
              <w:t>9 días</w:t>
            </w:r>
          </w:p>
        </w:tc>
        <w:tc>
          <w:tcPr>
            <w:tcW w:type="dxa" w:w="1423"/>
            <w:vAlign w:val="top"/>
          </w:tcPr>
          <w:p>
            <w:pPr>
              <w:spacing w:before="30" w:after="30" w:line="240" w:lineRule="auto"/>
              <w:jc w:val="left"/>
            </w:pPr>
            <w:r>
              <w:rPr>
                <w:rFonts w:ascii="Arial" w:hAnsi="Arial"/>
                <w:b w:val="0"/>
                <w:color w:val="1A1A1A"/>
                <w:sz w:val="18"/>
              </w:rPr>
              <w:t>No evaluable</w:t>
            </w:r>
          </w:p>
        </w:tc>
        <w:tc>
          <w:tcPr>
            <w:tcW w:type="dxa" w:w="1423"/>
            <w:vAlign w:val="top"/>
          </w:tcPr>
          <w:p>
            <w:pPr>
              <w:spacing w:before="30" w:after="30" w:line="240" w:lineRule="auto"/>
              <w:jc w:val="left"/>
            </w:pPr>
            <w:r>
              <w:rPr>
                <w:rFonts w:ascii="Arial" w:hAnsi="Arial"/>
                <w:b w:val="0"/>
                <w:color w:val="1A1A1A"/>
                <w:sz w:val="18"/>
              </w:rPr>
              <w:t>Del 28/10 al 20/11/2026</w:t>
            </w:r>
          </w:p>
        </w:tc>
        <w:tc>
          <w:tcPr>
            <w:tcW w:type="dxa" w:w="1627"/>
            <w:vAlign w:val="top"/>
          </w:tcPr>
          <w:p>
            <w:pPr>
              <w:spacing w:before="30" w:after="30" w:line="240" w:lineRule="auto"/>
              <w:jc w:val="left"/>
            </w:pPr>
            <w:r>
              <w:rPr>
                <w:rFonts w:ascii="Arial" w:hAnsi="Arial"/>
                <w:b w:val="0"/>
                <w:color w:val="1A1A1A"/>
                <w:sz w:val="18"/>
              </w:rPr>
              <w:t>Parcialmente eficaz</w:t>
            </w:r>
          </w:p>
        </w:tc>
        <w:tc>
          <w:tcPr>
            <w:tcW w:type="dxa" w:w="2642"/>
            <w:vAlign w:val="top"/>
          </w:tcPr>
          <w:p>
            <w:pPr>
              <w:spacing w:before="30" w:after="30" w:line="240" w:lineRule="auto"/>
              <w:jc w:val="left"/>
            </w:pPr>
            <w:r>
              <w:rPr>
                <w:rFonts w:ascii="Arial" w:hAnsi="Arial"/>
                <w:b w:val="0"/>
                <w:color w:val="1A1A1A"/>
                <w:sz w:val="18"/>
              </w:rPr>
              <w:t>La acción no ha podido evaluarse porque no se ha ejecutado. Se mantiene abierta</w:t>
            </w:r>
          </w:p>
        </w:tc>
      </w:tr>
      <w:tr>
        <w:trPr>
          <w:cantSplit/>
        </w:trPr>
        <w:tc>
          <w:tcPr>
            <w:tcW w:type="dxa" w:w="913"/>
            <w:vAlign w:val="top"/>
          </w:tcPr>
          <w:p>
            <w:pPr>
              <w:spacing w:before="30" w:after="30" w:line="240" w:lineRule="auto"/>
              <w:jc w:val="left"/>
            </w:pPr>
            <w:r>
              <w:rPr>
                <w:rFonts w:ascii="Arial" w:hAnsi="Arial"/>
                <w:b w:val="0"/>
                <w:color w:val="1A1A1A"/>
                <w:sz w:val="18"/>
              </w:rPr>
              <w:t>3</w:t>
            </w:r>
          </w:p>
        </w:tc>
        <w:tc>
          <w:tcPr>
            <w:tcW w:type="dxa" w:w="3050"/>
            <w:vAlign w:val="top"/>
          </w:tcPr>
          <w:p>
            <w:pPr>
              <w:spacing w:before="30" w:after="30" w:line="240" w:lineRule="auto"/>
              <w:jc w:val="left"/>
            </w:pPr>
            <w:r>
              <w:rPr>
                <w:rFonts w:ascii="Arial" w:hAnsi="Arial"/>
                <w:b w:val="0"/>
                <w:color w:val="1A1A1A"/>
                <w:sz w:val="18"/>
              </w:rPr>
              <w:t>Porcentaje de izajes con acta de acotación y aviso firmado</w:t>
            </w:r>
          </w:p>
        </w:tc>
        <w:tc>
          <w:tcPr>
            <w:tcW w:type="dxa" w:w="2642"/>
            <w:vAlign w:val="top"/>
          </w:tcPr>
          <w:p>
            <w:pPr>
              <w:spacing w:before="30" w:after="30" w:line="240" w:lineRule="auto"/>
              <w:jc w:val="left"/>
            </w:pPr>
            <w:r>
              <w:rPr>
                <w:rFonts w:ascii="Arial" w:hAnsi="Arial"/>
                <w:b w:val="0"/>
                <w:color w:val="1A1A1A"/>
                <w:sz w:val="18"/>
              </w:rPr>
              <w:t>Revisión del libro de izajes</w:t>
            </w:r>
          </w:p>
        </w:tc>
        <w:tc>
          <w:tcPr>
            <w:tcW w:type="dxa" w:w="1423"/>
            <w:vAlign w:val="top"/>
          </w:tcPr>
          <w:p>
            <w:pPr>
              <w:spacing w:before="30" w:after="30" w:line="240" w:lineRule="auto"/>
              <w:jc w:val="left"/>
            </w:pPr>
            <w:r>
              <w:rPr>
                <w:rFonts w:ascii="Arial" w:hAnsi="Arial"/>
                <w:b w:val="0"/>
                <w:color w:val="1A1A1A"/>
                <w:sz w:val="18"/>
              </w:rPr>
              <w:t>0 %</w:t>
            </w:r>
          </w:p>
        </w:tc>
        <w:tc>
          <w:tcPr>
            <w:tcW w:type="dxa" w:w="1423"/>
            <w:vAlign w:val="top"/>
          </w:tcPr>
          <w:p>
            <w:pPr>
              <w:spacing w:before="30" w:after="30" w:line="240" w:lineRule="auto"/>
              <w:jc w:val="left"/>
            </w:pPr>
            <w:r>
              <w:rPr>
                <w:rFonts w:ascii="Arial" w:hAnsi="Arial"/>
                <w:b w:val="0"/>
                <w:color w:val="1A1A1A"/>
                <w:sz w:val="18"/>
              </w:rPr>
              <w:t>100 % (11 de 11)</w:t>
            </w:r>
          </w:p>
        </w:tc>
        <w:tc>
          <w:tcPr>
            <w:tcW w:type="dxa" w:w="1423"/>
            <w:vAlign w:val="top"/>
          </w:tcPr>
          <w:p>
            <w:pPr>
              <w:spacing w:before="30" w:after="30" w:line="240" w:lineRule="auto"/>
              <w:jc w:val="left"/>
            </w:pPr>
            <w:r>
              <w:rPr>
                <w:rFonts w:ascii="Arial" w:hAnsi="Arial"/>
                <w:b w:val="0"/>
                <w:color w:val="1A1A1A"/>
                <w:sz w:val="18"/>
              </w:rPr>
              <w:t>Del 21/10 al 20/11/2026</w:t>
            </w:r>
          </w:p>
        </w:tc>
        <w:tc>
          <w:tcPr>
            <w:tcW w:type="dxa" w:w="1627"/>
            <w:vAlign w:val="top"/>
          </w:tcPr>
          <w:p>
            <w:pPr>
              <w:spacing w:before="30" w:after="30" w:line="240" w:lineRule="auto"/>
              <w:jc w:val="left"/>
            </w:pPr>
            <w:r>
              <w:rPr>
                <w:rFonts w:ascii="Arial" w:hAnsi="Arial"/>
                <w:b w:val="0"/>
                <w:color w:val="1A1A1A"/>
                <w:sz w:val="18"/>
              </w:rPr>
              <w:t>Eficaz</w:t>
            </w:r>
          </w:p>
        </w:tc>
        <w:tc>
          <w:tcPr>
            <w:tcW w:type="dxa" w:w="2642"/>
            <w:vAlign w:val="top"/>
          </w:tcPr>
          <w:p>
            <w:pPr>
              <w:spacing w:before="30" w:after="30" w:line="240" w:lineRule="auto"/>
              <w:jc w:val="left"/>
            </w:pPr>
            <w:r>
              <w:rPr>
                <w:rFonts w:ascii="Arial" w:hAnsi="Arial"/>
                <w:b w:val="0"/>
                <w:color w:val="1A1A1A"/>
                <w:sz w:val="18"/>
              </w:rPr>
              <w:t>Eficaz cuando el cien por cien de los izajes de la obra tienen acotación y aviso</w:t>
            </w:r>
          </w:p>
        </w:tc>
      </w:tr>
      <w:tr>
        <w:trPr>
          <w:cantSplit/>
        </w:trPr>
        <w:tc>
          <w:tcPr>
            <w:tcW w:type="dxa" w:w="913"/>
            <w:vAlign w:val="top"/>
          </w:tcPr>
          <w:p>
            <w:pPr>
              <w:spacing w:before="30" w:after="30" w:line="240" w:lineRule="auto"/>
              <w:jc w:val="left"/>
            </w:pPr>
            <w:r>
              <w:rPr>
                <w:rFonts w:ascii="Arial" w:hAnsi="Arial"/>
                <w:b w:val="0"/>
                <w:color w:val="1A1A1A"/>
                <w:sz w:val="18"/>
              </w:rPr>
              <w:t>4</w:t>
            </w:r>
          </w:p>
        </w:tc>
        <w:tc>
          <w:tcPr>
            <w:tcW w:type="dxa" w:w="3050"/>
            <w:vAlign w:val="top"/>
          </w:tcPr>
          <w:p>
            <w:pPr>
              <w:spacing w:before="30" w:after="30" w:line="240" w:lineRule="auto"/>
              <w:jc w:val="left"/>
            </w:pPr>
            <w:r>
              <w:rPr>
                <w:rFonts w:ascii="Arial" w:hAnsi="Arial"/>
                <w:b w:val="0"/>
                <w:color w:val="1A1A1A"/>
                <w:sz w:val="18"/>
              </w:rPr>
              <w:t>Elementos de apoyo no previstos detectados en inspección</w:t>
            </w:r>
          </w:p>
        </w:tc>
        <w:tc>
          <w:tcPr>
            <w:tcW w:type="dxa" w:w="2642"/>
            <w:vAlign w:val="top"/>
          </w:tcPr>
          <w:p>
            <w:pPr>
              <w:spacing w:before="30" w:after="30" w:line="240" w:lineRule="auto"/>
              <w:jc w:val="left"/>
            </w:pPr>
            <w:r>
              <w:rPr>
                <w:rFonts w:ascii="Arial" w:hAnsi="Arial"/>
                <w:b w:val="0"/>
                <w:color w:val="1A1A1A"/>
                <w:sz w:val="18"/>
              </w:rPr>
              <w:t>Inspección de obra</w:t>
            </w:r>
          </w:p>
        </w:tc>
        <w:tc>
          <w:tcPr>
            <w:tcW w:type="dxa" w:w="1423"/>
            <w:vAlign w:val="top"/>
          </w:tcPr>
          <w:p>
            <w:pPr>
              <w:spacing w:before="30" w:after="30" w:line="240" w:lineRule="auto"/>
              <w:jc w:val="left"/>
            </w:pPr>
            <w:r>
              <w:rPr>
                <w:rFonts w:ascii="Arial" w:hAnsi="Arial"/>
                <w:b w:val="0"/>
                <w:color w:val="1A1A1A"/>
                <w:sz w:val="18"/>
              </w:rPr>
              <w:t>3</w:t>
            </w:r>
          </w:p>
        </w:tc>
        <w:tc>
          <w:tcPr>
            <w:tcW w:type="dxa" w:w="1423"/>
            <w:vAlign w:val="top"/>
          </w:tcPr>
          <w:p>
            <w:pPr>
              <w:spacing w:before="30" w:after="30" w:line="240" w:lineRule="auto"/>
              <w:jc w:val="left"/>
            </w:pPr>
            <w:r>
              <w:rPr>
                <w:rFonts w:ascii="Arial" w:hAnsi="Arial"/>
                <w:b w:val="0"/>
                <w:color w:val="1A1A1A"/>
                <w:sz w:val="18"/>
              </w:rPr>
              <w:t>0</w:t>
            </w:r>
          </w:p>
        </w:tc>
        <w:tc>
          <w:tcPr>
            <w:tcW w:type="dxa" w:w="1423"/>
            <w:vAlign w:val="top"/>
          </w:tcPr>
          <w:p>
            <w:pPr>
              <w:spacing w:before="30" w:after="30" w:line="240" w:lineRule="auto"/>
              <w:jc w:val="left"/>
            </w:pPr>
            <w:r>
              <w:rPr>
                <w:rFonts w:ascii="Arial" w:hAnsi="Arial"/>
                <w:b w:val="0"/>
                <w:color w:val="1A1A1A"/>
                <w:sz w:val="18"/>
              </w:rPr>
              <w:t>Del 20/10 al 20/11/2026</w:t>
            </w:r>
          </w:p>
        </w:tc>
        <w:tc>
          <w:tcPr>
            <w:tcW w:type="dxa" w:w="1627"/>
            <w:vAlign w:val="top"/>
          </w:tcPr>
          <w:p>
            <w:pPr>
              <w:spacing w:before="30" w:after="30" w:line="240" w:lineRule="auto"/>
              <w:jc w:val="left"/>
            </w:pPr>
            <w:r>
              <w:rPr>
                <w:rFonts w:ascii="Arial" w:hAnsi="Arial"/>
                <w:b w:val="0"/>
                <w:color w:val="1A1A1A"/>
                <w:sz w:val="18"/>
              </w:rPr>
              <w:t>Eficaz</w:t>
            </w:r>
          </w:p>
        </w:tc>
        <w:tc>
          <w:tcPr>
            <w:tcW w:type="dxa" w:w="2642"/>
            <w:vAlign w:val="top"/>
          </w:tcPr>
          <w:p>
            <w:pPr>
              <w:spacing w:before="30" w:after="30" w:line="240" w:lineRule="auto"/>
              <w:jc w:val="left"/>
            </w:pPr>
            <w:r>
              <w:rPr>
                <w:rFonts w:ascii="Arial" w:hAnsi="Arial"/>
                <w:b w:val="0"/>
                <w:color w:val="1A1A1A"/>
                <w:sz w:val="18"/>
              </w:rPr>
              <w:t>Eficaz cuando no se detecta ninguno en dos inspecciones consecutivas</w:t>
            </w:r>
          </w:p>
        </w:tc>
      </w:tr>
      <w:tr>
        <w:trPr>
          <w:cantSplit/>
        </w:trPr>
        <w:tc>
          <w:tcPr>
            <w:tcW w:type="dxa" w:w="913"/>
            <w:vAlign w:val="top"/>
          </w:tcPr>
          <w:p>
            <w:pPr>
              <w:spacing w:before="30" w:after="30" w:line="240" w:lineRule="auto"/>
              <w:jc w:val="left"/>
            </w:pPr>
            <w:r>
              <w:rPr>
                <w:rFonts w:ascii="Arial" w:hAnsi="Arial"/>
                <w:b w:val="0"/>
                <w:color w:val="1A1A1A"/>
                <w:sz w:val="18"/>
              </w:rPr>
              <w:t>5</w:t>
            </w:r>
          </w:p>
        </w:tc>
        <w:tc>
          <w:tcPr>
            <w:tcW w:type="dxa" w:w="3050"/>
            <w:vAlign w:val="top"/>
          </w:tcPr>
          <w:p>
            <w:pPr>
              <w:spacing w:before="30" w:after="30" w:line="240" w:lineRule="auto"/>
              <w:jc w:val="left"/>
            </w:pPr>
            <w:r>
              <w:rPr>
                <w:rFonts w:ascii="Arial" w:hAnsi="Arial"/>
                <w:b w:val="0"/>
                <w:color w:val="1A1A1A"/>
                <w:sz w:val="18"/>
              </w:rPr>
              <w:t>Diferencia entre el plan vigente y el programa de obra en fechas de medios</w:t>
            </w:r>
          </w:p>
        </w:tc>
        <w:tc>
          <w:tcPr>
            <w:tcW w:type="dxa" w:w="2642"/>
            <w:vAlign w:val="top"/>
          </w:tcPr>
          <w:p>
            <w:pPr>
              <w:spacing w:before="30" w:after="30" w:line="240" w:lineRule="auto"/>
              <w:jc w:val="left"/>
            </w:pPr>
            <w:r>
              <w:rPr>
                <w:rFonts w:ascii="Arial" w:hAnsi="Arial"/>
                <w:b w:val="0"/>
                <w:color w:val="1A1A1A"/>
                <w:sz w:val="18"/>
              </w:rPr>
              <w:t>Contraste documental</w:t>
            </w:r>
          </w:p>
        </w:tc>
        <w:tc>
          <w:tcPr>
            <w:tcW w:type="dxa" w:w="1423"/>
            <w:vAlign w:val="top"/>
          </w:tcPr>
          <w:p>
            <w:pPr>
              <w:spacing w:before="30" w:after="30" w:line="240" w:lineRule="auto"/>
              <w:jc w:val="left"/>
            </w:pPr>
            <w:r>
              <w:rPr>
                <w:rFonts w:ascii="Arial" w:hAnsi="Arial"/>
                <w:b w:val="0"/>
                <w:color w:val="1A1A1A"/>
                <w:sz w:val="18"/>
              </w:rPr>
              <w:t>No evaluable</w:t>
            </w:r>
          </w:p>
        </w:tc>
        <w:tc>
          <w:tcPr>
            <w:tcW w:type="dxa" w:w="1423"/>
            <w:vAlign w:val="top"/>
          </w:tcPr>
          <w:p>
            <w:pPr>
              <w:spacing w:before="30" w:after="30" w:line="240" w:lineRule="auto"/>
              <w:jc w:val="left"/>
            </w:pPr>
            <w:r>
              <w:rPr>
                <w:rFonts w:ascii="Arial" w:hAnsi="Arial"/>
                <w:b w:val="0"/>
                <w:color w:val="1A1A1A"/>
                <w:sz w:val="18"/>
              </w:rPr>
              <w:t>No evaluable</w:t>
            </w:r>
          </w:p>
        </w:tc>
        <w:tc>
          <w:tcPr>
            <w:tcW w:type="dxa" w:w="1423"/>
            <w:vAlign w:val="top"/>
          </w:tcPr>
          <w:p>
            <w:pPr>
              <w:spacing w:before="30" w:after="30" w:line="240" w:lineRule="auto"/>
              <w:jc w:val="left"/>
            </w:pPr>
            <w:r>
              <w:rPr>
                <w:rFonts w:ascii="Arial" w:hAnsi="Arial"/>
                <w:b w:val="0"/>
                <w:color w:val="1A1A1A"/>
                <w:sz w:val="18"/>
              </w:rPr>
              <w:t>—</w:t>
            </w:r>
          </w:p>
        </w:tc>
        <w:tc>
          <w:tcPr>
            <w:tcW w:type="dxa" w:w="1627"/>
            <w:vAlign w:val="top"/>
          </w:tcPr>
          <w:p>
            <w:pPr>
              <w:spacing w:before="30" w:after="30" w:line="240" w:lineRule="auto"/>
              <w:jc w:val="left"/>
            </w:pPr>
            <w:r>
              <w:rPr>
                <w:rFonts w:ascii="Arial" w:hAnsi="Arial"/>
                <w:b w:val="0"/>
                <w:color w:val="1A1A1A"/>
                <w:sz w:val="18"/>
              </w:rPr>
              <w:t>Sin datos</w:t>
            </w:r>
          </w:p>
        </w:tc>
        <w:tc>
          <w:tcPr>
            <w:tcW w:type="dxa" w:w="2642"/>
            <w:vAlign w:val="top"/>
          </w:tcPr>
          <w:p>
            <w:pPr>
              <w:spacing w:before="30" w:after="30" w:line="240" w:lineRule="auto"/>
              <w:jc w:val="left"/>
            </w:pPr>
            <w:r>
              <w:rPr>
                <w:rFonts w:ascii="Arial" w:hAnsi="Arial"/>
                <w:b w:val="0"/>
                <w:color w:val="1A1A1A"/>
                <w:sz w:val="18"/>
              </w:rPr>
              <w:t>No se puede evaluar hasta que se reciba el programa de obra</w:t>
            </w:r>
          </w:p>
        </w:tc>
      </w:tr>
      <w:tr>
        <w:trPr>
          <w:cantSplit/>
        </w:trPr>
        <w:tc>
          <w:tcPr>
            <w:tcW w:type="dxa" w:w="913"/>
            <w:vAlign w:val="top"/>
          </w:tcPr>
          <w:p>
            <w:pPr>
              <w:spacing w:before="30" w:after="30" w:line="240" w:lineRule="auto"/>
              <w:jc w:val="left"/>
            </w:pPr>
            <w:r>
              <w:rPr>
                <w:rFonts w:ascii="Arial" w:hAnsi="Arial"/>
                <w:b w:val="0"/>
                <w:color w:val="1A1A1A"/>
                <w:sz w:val="18"/>
              </w:rPr>
              <w:t>6</w:t>
            </w:r>
          </w:p>
        </w:tc>
        <w:tc>
          <w:tcPr>
            <w:tcW w:type="dxa" w:w="3050"/>
            <w:vAlign w:val="top"/>
          </w:tcPr>
          <w:p>
            <w:pPr>
              <w:spacing w:before="30" w:after="30" w:line="240" w:lineRule="auto"/>
              <w:jc w:val="left"/>
            </w:pPr>
            <w:r>
              <w:rPr>
                <w:rFonts w:ascii="Arial" w:hAnsi="Arial"/>
                <w:b w:val="0"/>
                <w:color w:val="1A1A1A"/>
                <w:sz w:val="18"/>
              </w:rPr>
              <w:t>Porcentaje de líneas de vida entregadas con anclaje compatible</w:t>
            </w:r>
          </w:p>
        </w:tc>
        <w:tc>
          <w:tcPr>
            <w:tcW w:type="dxa" w:w="2642"/>
            <w:vAlign w:val="top"/>
          </w:tcPr>
          <w:p>
            <w:pPr>
              <w:spacing w:before="30" w:after="30" w:line="240" w:lineRule="auto"/>
              <w:jc w:val="left"/>
            </w:pPr>
            <w:r>
              <w:rPr>
                <w:rFonts w:ascii="Arial" w:hAnsi="Arial"/>
                <w:b w:val="0"/>
                <w:color w:val="1A1A1A"/>
                <w:sz w:val="18"/>
              </w:rPr>
              <w:t>Contraste entre el registro de EPI y el inventario de anclajes</w:t>
            </w:r>
          </w:p>
        </w:tc>
        <w:tc>
          <w:tcPr>
            <w:tcW w:type="dxa" w:w="1423"/>
            <w:vAlign w:val="top"/>
          </w:tcPr>
          <w:p>
            <w:pPr>
              <w:spacing w:before="30" w:after="30" w:line="240" w:lineRule="auto"/>
              <w:jc w:val="left"/>
            </w:pPr>
            <w:r>
              <w:rPr>
                <w:rFonts w:ascii="Arial" w:hAnsi="Arial"/>
                <w:b w:val="0"/>
                <w:color w:val="1A1A1A"/>
                <w:sz w:val="18"/>
              </w:rPr>
              <w:t>0 %</w:t>
            </w:r>
          </w:p>
        </w:tc>
        <w:tc>
          <w:tcPr>
            <w:tcW w:type="dxa" w:w="1423"/>
            <w:vAlign w:val="top"/>
          </w:tcPr>
          <w:p>
            <w:pPr>
              <w:spacing w:before="30" w:after="30" w:line="240" w:lineRule="auto"/>
              <w:jc w:val="left"/>
            </w:pPr>
            <w:r>
              <w:rPr>
                <w:rFonts w:ascii="Arial" w:hAnsi="Arial"/>
                <w:b w:val="0"/>
                <w:color w:val="1A1A1A"/>
                <w:sz w:val="18"/>
              </w:rPr>
              <w:t>100 %</w:t>
            </w:r>
          </w:p>
        </w:tc>
        <w:tc>
          <w:tcPr>
            <w:tcW w:type="dxa" w:w="1423"/>
            <w:vAlign w:val="top"/>
          </w:tcPr>
          <w:p>
            <w:pPr>
              <w:spacing w:before="30" w:after="30" w:line="240" w:lineRule="auto"/>
              <w:jc w:val="left"/>
            </w:pPr>
            <w:r>
              <w:rPr>
                <w:rFonts w:ascii="Arial" w:hAnsi="Arial"/>
                <w:b w:val="0"/>
                <w:color w:val="1A1A1A"/>
                <w:sz w:val="18"/>
              </w:rPr>
              <w:t>Del 25/10 al 20/11/2026</w:t>
            </w:r>
          </w:p>
        </w:tc>
        <w:tc>
          <w:tcPr>
            <w:tcW w:type="dxa" w:w="1627"/>
            <w:vAlign w:val="top"/>
          </w:tcPr>
          <w:p>
            <w:pPr>
              <w:spacing w:before="30" w:after="30" w:line="240" w:lineRule="auto"/>
              <w:jc w:val="left"/>
            </w:pPr>
            <w:r>
              <w:rPr>
                <w:rFonts w:ascii="Arial" w:hAnsi="Arial"/>
                <w:b w:val="0"/>
                <w:color w:val="1A1A1A"/>
                <w:sz w:val="18"/>
              </w:rPr>
              <w:t>Eficaz</w:t>
            </w:r>
          </w:p>
        </w:tc>
        <w:tc>
          <w:tcPr>
            <w:tcW w:type="dxa" w:w="2642"/>
            <w:vAlign w:val="top"/>
          </w:tcPr>
          <w:p>
            <w:pPr>
              <w:spacing w:before="30" w:after="30" w:line="240" w:lineRule="auto"/>
              <w:jc w:val="left"/>
            </w:pPr>
            <w:r>
              <w:rPr>
                <w:rFonts w:ascii="Arial" w:hAnsi="Arial"/>
                <w:b w:val="0"/>
                <w:color w:val="1A1A1A"/>
                <w:sz w:val="18"/>
              </w:rPr>
              <w:t>Eficaz cuando toda línea de vida entregada tiene su anclaje instalado y certificado</w:t>
            </w:r>
          </w:p>
        </w:tc>
      </w:tr>
      <w:tr>
        <w:trPr>
          <w:cantSplit/>
        </w:trPr>
        <w:tc>
          <w:tcPr>
            <w:tcW w:type="dxa" w:w="913"/>
            <w:vAlign w:val="top"/>
          </w:tcPr>
          <w:p>
            <w:pPr>
              <w:spacing w:before="30" w:after="30" w:line="240" w:lineRule="auto"/>
              <w:jc w:val="left"/>
            </w:pPr>
            <w:r>
              <w:rPr>
                <w:rFonts w:ascii="Arial" w:hAnsi="Arial"/>
                <w:b w:val="0"/>
                <w:color w:val="1A1A1A"/>
                <w:sz w:val="18"/>
              </w:rPr>
              <w:t>7</w:t>
            </w:r>
          </w:p>
        </w:tc>
        <w:tc>
          <w:tcPr>
            <w:tcW w:type="dxa" w:w="3050"/>
            <w:vAlign w:val="top"/>
          </w:tcPr>
          <w:p>
            <w:pPr>
              <w:spacing w:before="30" w:after="30" w:line="240" w:lineRule="auto"/>
              <w:jc w:val="left"/>
            </w:pPr>
            <w:r>
              <w:rPr>
                <w:rFonts w:ascii="Arial" w:hAnsi="Arial"/>
                <w:b w:val="0"/>
                <w:color w:val="1A1A1A"/>
                <w:sz w:val="18"/>
              </w:rPr>
              <w:t>Trabajadores con certificado de formación acreditado y vigente</w:t>
            </w:r>
          </w:p>
        </w:tc>
        <w:tc>
          <w:tcPr>
            <w:tcW w:type="dxa" w:w="2642"/>
            <w:vAlign w:val="top"/>
          </w:tcPr>
          <w:p>
            <w:pPr>
              <w:spacing w:before="30" w:after="30" w:line="240" w:lineRule="auto"/>
              <w:jc w:val="left"/>
            </w:pPr>
            <w:r>
              <w:rPr>
                <w:rFonts w:ascii="Arial" w:hAnsi="Arial"/>
                <w:b w:val="0"/>
                <w:color w:val="1A1A1A"/>
                <w:sz w:val="18"/>
              </w:rPr>
              <w:t>Control de acceso a obra</w:t>
            </w:r>
          </w:p>
        </w:tc>
        <w:tc>
          <w:tcPr>
            <w:tcW w:type="dxa" w:w="1423"/>
            <w:vAlign w:val="top"/>
          </w:tcPr>
          <w:p>
            <w:pPr>
              <w:spacing w:before="30" w:after="30" w:line="240" w:lineRule="auto"/>
              <w:jc w:val="left"/>
            </w:pPr>
            <w:r>
              <w:rPr>
                <w:rFonts w:ascii="Arial" w:hAnsi="Arial"/>
                <w:b w:val="0"/>
                <w:color w:val="1A1A1A"/>
                <w:sz w:val="18"/>
              </w:rPr>
              <w:t>76 %</w:t>
            </w:r>
          </w:p>
        </w:tc>
        <w:tc>
          <w:tcPr>
            <w:tcW w:type="dxa" w:w="1423"/>
            <w:vAlign w:val="top"/>
          </w:tcPr>
          <w:p>
            <w:pPr>
              <w:spacing w:before="30" w:after="30" w:line="240" w:lineRule="auto"/>
              <w:jc w:val="left"/>
            </w:pPr>
            <w:r>
              <w:rPr>
                <w:rFonts w:ascii="Arial" w:hAnsi="Arial"/>
                <w:b w:val="0"/>
                <w:color w:val="1A1A1A"/>
                <w:sz w:val="18"/>
              </w:rPr>
              <w:t>100 %</w:t>
            </w:r>
          </w:p>
        </w:tc>
        <w:tc>
          <w:tcPr>
            <w:tcW w:type="dxa" w:w="1423"/>
            <w:vAlign w:val="top"/>
          </w:tcPr>
          <w:p>
            <w:pPr>
              <w:spacing w:before="30" w:after="30" w:line="240" w:lineRule="auto"/>
              <w:jc w:val="left"/>
            </w:pPr>
            <w:r>
              <w:rPr>
                <w:rFonts w:ascii="Arial" w:hAnsi="Arial"/>
                <w:b w:val="0"/>
                <w:color w:val="1A1A1A"/>
                <w:sz w:val="18"/>
              </w:rPr>
              <w:t>Del 20/10 al 20/11/2026</w:t>
            </w:r>
          </w:p>
        </w:tc>
        <w:tc>
          <w:tcPr>
            <w:tcW w:type="dxa" w:w="1627"/>
            <w:vAlign w:val="top"/>
          </w:tcPr>
          <w:p>
            <w:pPr>
              <w:spacing w:before="30" w:after="30" w:line="240" w:lineRule="auto"/>
              <w:jc w:val="left"/>
            </w:pPr>
            <w:r>
              <w:rPr>
                <w:rFonts w:ascii="Arial" w:hAnsi="Arial"/>
                <w:b w:val="0"/>
                <w:color w:val="1A1A1A"/>
                <w:sz w:val="18"/>
              </w:rPr>
              <w:t>Eficaz</w:t>
            </w:r>
          </w:p>
        </w:tc>
        <w:tc>
          <w:tcPr>
            <w:tcW w:type="dxa" w:w="2642"/>
            <w:vAlign w:val="top"/>
          </w:tcPr>
          <w:p>
            <w:pPr>
              <w:spacing w:before="30" w:after="30" w:line="240" w:lineRule="auto"/>
              <w:jc w:val="left"/>
            </w:pPr>
            <w:r>
              <w:rPr>
                <w:rFonts w:ascii="Arial" w:hAnsi="Arial"/>
                <w:b w:val="0"/>
                <w:color w:val="1A1A1A"/>
                <w:sz w:val="18"/>
              </w:rPr>
              <w:t>Eficaz cuando ningún acceso se produce sin certificado acreditado</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Incidencias del seguimiento</w:t>
      </w:r>
    </w:p>
    <w:p>
      <w:pPr>
        <w:keepNext/>
        <w:spacing w:after="40" w:before="0" w:line="264" w:lineRule="auto"/>
      </w:pPr>
      <w:r>
        <w:rPr>
          <w:rFonts w:ascii="Arial" w:hAnsi="Arial"/>
          <w:b/>
          <w:i w:val="0"/>
          <w:color w:val="1A1A1A"/>
          <w:sz w:val="19"/>
        </w:rPr>
        <w:t>P7.3. Lo que ha pasado con el plan durante el seguimiento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035"/>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Incidencia</w:t>
            </w:r>
          </w:p>
          <w:p>
            <w:pPr>
              <w:spacing w:after="0"/>
            </w:pPr>
            <w:r>
              <w:rPr>
                <w:i/>
                <w:color w:val="808080"/>
                <w:sz w:val="14"/>
              </w:rPr>
              <w:t>obligatorio</w:t>
            </w:r>
          </w:p>
        </w:tc>
        <w:tc>
          <w:tcPr>
            <w:tcW w:type="dxa" w:w="4660"/>
            <w:vAlign w:val="top"/>
            <w:shd w:val="clear" w:color="auto" w:fill="F2F2F2"/>
          </w:tcPr>
          <w:p>
            <w:pPr>
              <w:spacing w:before="30" w:after="30" w:line="240" w:lineRule="auto"/>
              <w:jc w:val="left"/>
            </w:pPr>
            <w:r>
              <w:rPr>
                <w:rFonts w:ascii="Arial" w:hAnsi="Arial"/>
                <w:b/>
                <w:color w:val="1A1A1A"/>
                <w:sz w:val="18"/>
              </w:rPr>
              <w:t>Decisión tomada</w:t>
            </w:r>
          </w:p>
          <w:p>
            <w:pPr>
              <w:spacing w:after="0"/>
            </w:pPr>
            <w:r>
              <w:rPr>
                <w:i/>
                <w:color w:val="808080"/>
                <w:sz w:val="14"/>
              </w:rPr>
              <w:t>obligatorio</w:t>
            </w:r>
          </w:p>
        </w:tc>
        <w:tc>
          <w:tcPr>
            <w:tcW w:type="dxa" w:w="2619"/>
            <w:vAlign w:val="top"/>
            <w:shd w:val="clear" w:color="auto" w:fill="F2F2F2"/>
          </w:tcPr>
          <w:p>
            <w:pPr>
              <w:spacing w:before="30" w:after="30" w:line="240" w:lineRule="auto"/>
              <w:jc w:val="left"/>
            </w:pPr>
            <w:r>
              <w:rPr>
                <w:rFonts w:ascii="Arial" w:hAnsi="Arial"/>
                <w:b/>
                <w:color w:val="1A1A1A"/>
                <w:sz w:val="18"/>
              </w:rPr>
              <w:t>Quién decide</w:t>
            </w:r>
          </w:p>
          <w:p>
            <w:pPr>
              <w:spacing w:after="0"/>
            </w:pPr>
            <w:r>
              <w:rPr>
                <w:i/>
                <w:color w:val="808080"/>
                <w:sz w:val="14"/>
              </w:rPr>
              <w:t>obligatorio</w:t>
            </w:r>
          </w:p>
        </w:tc>
      </w:tr>
      <w:tr>
        <w:trPr>
          <w:cantSplit/>
        </w:trPr>
        <w:tc>
          <w:tcPr>
            <w:tcW w:type="dxa" w:w="2035"/>
            <w:vAlign w:val="top"/>
          </w:tcPr>
          <w:p>
            <w:pPr>
              <w:spacing w:before="30" w:after="30" w:line="240" w:lineRule="auto"/>
              <w:jc w:val="left"/>
            </w:pPr>
            <w:r>
              <w:rPr>
                <w:rFonts w:ascii="Arial" w:hAnsi="Arial"/>
                <w:b w:val="0"/>
                <w:color w:val="1A1A1A"/>
                <w:sz w:val="18"/>
              </w:rPr>
              <w:t>24/10/2026</w:t>
            </w:r>
          </w:p>
        </w:tc>
        <w:tc>
          <w:tcPr>
            <w:tcW w:type="dxa" w:w="5822"/>
            <w:vAlign w:val="top"/>
          </w:tcPr>
          <w:p>
            <w:pPr>
              <w:spacing w:before="30" w:after="30" w:line="240" w:lineRule="auto"/>
              <w:jc w:val="left"/>
            </w:pPr>
            <w:r>
              <w:rPr>
                <w:rFonts w:ascii="Arial" w:hAnsi="Arial"/>
                <w:b w:val="0"/>
                <w:color w:val="1A1A1A"/>
                <w:sz w:val="18"/>
              </w:rPr>
              <w:t>El instalador de los anclajes propone un anclaje de tipo químico marcado en obra, sin certificado de producto</w:t>
            </w:r>
          </w:p>
        </w:tc>
        <w:tc>
          <w:tcPr>
            <w:tcW w:type="dxa" w:w="4660"/>
            <w:vAlign w:val="top"/>
          </w:tcPr>
          <w:p>
            <w:pPr>
              <w:spacing w:before="30" w:after="30" w:line="240" w:lineRule="auto"/>
              <w:jc w:val="left"/>
            </w:pPr>
            <w:r>
              <w:rPr>
                <w:rFonts w:ascii="Arial" w:hAnsi="Arial"/>
                <w:b w:val="0"/>
                <w:color w:val="1A1A1A"/>
                <w:sz w:val="18"/>
              </w:rPr>
              <w:t>No se acepta. Se exige certificación del producto y del instalador. Se retrasa la instalación cuatro días</w:t>
            </w:r>
          </w:p>
        </w:tc>
        <w:tc>
          <w:tcPr>
            <w:tcW w:type="dxa" w:w="2619"/>
            <w:vAlign w:val="top"/>
          </w:tcPr>
          <w:p>
            <w:pPr>
              <w:spacing w:before="30" w:after="30" w:line="240" w:lineRule="auto"/>
              <w:jc w:val="left"/>
            </w:pPr>
            <w:r>
              <w:rPr>
                <w:rFonts w:ascii="Arial" w:hAnsi="Arial"/>
                <w:b w:val="0"/>
                <w:color w:val="1A1A1A"/>
                <w:sz w:val="18"/>
              </w:rPr>
              <w:t>L. Herrero</w:t>
            </w:r>
          </w:p>
        </w:tc>
      </w:tr>
      <w:tr>
        <w:trPr>
          <w:cantSplit/>
        </w:trPr>
        <w:tc>
          <w:tcPr>
            <w:tcW w:type="dxa" w:w="2035"/>
            <w:vAlign w:val="top"/>
          </w:tcPr>
          <w:p>
            <w:pPr>
              <w:spacing w:before="30" w:after="30" w:line="240" w:lineRule="auto"/>
              <w:jc w:val="left"/>
            </w:pPr>
            <w:r>
              <w:rPr>
                <w:rFonts w:ascii="Arial" w:hAnsi="Arial"/>
                <w:b w:val="0"/>
                <w:color w:val="1A1A1A"/>
                <w:sz w:val="18"/>
              </w:rPr>
              <w:t>05/11/2026</w:t>
            </w:r>
          </w:p>
        </w:tc>
        <w:tc>
          <w:tcPr>
            <w:tcW w:type="dxa" w:w="5822"/>
            <w:vAlign w:val="top"/>
          </w:tcPr>
          <w:p>
            <w:pPr>
              <w:spacing w:before="30" w:after="30" w:line="240" w:lineRule="auto"/>
              <w:jc w:val="left"/>
            </w:pPr>
            <w:r>
              <w:rPr>
                <w:rFonts w:ascii="Arial" w:hAnsi="Arial"/>
                <w:b w:val="0"/>
                <w:color w:val="1A1A1A"/>
                <w:sz w:val="18"/>
              </w:rPr>
              <w:t>El comercial de la plataforma pide avanzar la fecha de entrega para no perder la obra</w:t>
            </w:r>
          </w:p>
        </w:tc>
        <w:tc>
          <w:tcPr>
            <w:tcW w:type="dxa" w:w="4660"/>
            <w:vAlign w:val="top"/>
          </w:tcPr>
          <w:p>
            <w:pPr>
              <w:spacing w:before="30" w:after="30" w:line="240" w:lineRule="auto"/>
              <w:jc w:val="left"/>
            </w:pPr>
            <w:r>
              <w:rPr>
                <w:rFonts w:ascii="Arial" w:hAnsi="Arial"/>
                <w:b w:val="0"/>
                <w:color w:val="1A1A1A"/>
                <w:sz w:val="18"/>
              </w:rPr>
              <w:t>Se mantiene la fecha real. La fecha del programa no se ajusta al calendario comercial</w:t>
            </w:r>
          </w:p>
        </w:tc>
        <w:tc>
          <w:tcPr>
            <w:tcW w:type="dxa" w:w="2619"/>
            <w:vAlign w:val="top"/>
          </w:tcPr>
          <w:p>
            <w:pPr>
              <w:spacing w:before="30" w:after="30" w:line="240" w:lineRule="auto"/>
              <w:jc w:val="left"/>
            </w:pPr>
            <w:r>
              <w:rPr>
                <w:rFonts w:ascii="Arial" w:hAnsi="Arial"/>
                <w:b w:val="0"/>
                <w:color w:val="1A1A1A"/>
                <w:sz w:val="18"/>
              </w:rPr>
              <w:t>M. R. Peña</w:t>
            </w:r>
          </w:p>
        </w:tc>
      </w:tr>
      <w:tr>
        <w:trPr>
          <w:cantSplit/>
        </w:trPr>
        <w:tc>
          <w:tcPr>
            <w:tcW w:type="dxa" w:w="2035"/>
            <w:vAlign w:val="top"/>
          </w:tcPr>
          <w:p>
            <w:pPr>
              <w:spacing w:before="30" w:after="30" w:line="240" w:lineRule="auto"/>
              <w:jc w:val="left"/>
            </w:pPr>
            <w:r>
              <w:rPr>
                <w:rFonts w:ascii="Arial" w:hAnsi="Arial"/>
                <w:b w:val="0"/>
                <w:color w:val="1A1A1A"/>
                <w:sz w:val="18"/>
              </w:rPr>
              <w:t>12/11/2026</w:t>
            </w:r>
          </w:p>
        </w:tc>
        <w:tc>
          <w:tcPr>
            <w:tcW w:type="dxa" w:w="5822"/>
            <w:vAlign w:val="top"/>
          </w:tcPr>
          <w:p>
            <w:pPr>
              <w:spacing w:before="30" w:after="30" w:line="240" w:lineRule="auto"/>
              <w:jc w:val="left"/>
            </w:pPr>
            <w:r>
              <w:rPr>
                <w:rFonts w:ascii="Arial" w:hAnsi="Arial"/>
                <w:b w:val="0"/>
                <w:color w:val="1A1A1A"/>
                <w:sz w:val="18"/>
              </w:rPr>
              <w:t>Se instalan los anclajes provisionalmente para permitir el avance de la cubierta</w:t>
            </w:r>
          </w:p>
        </w:tc>
        <w:tc>
          <w:tcPr>
            <w:tcW w:type="dxa" w:w="4660"/>
            <w:vAlign w:val="top"/>
          </w:tcPr>
          <w:p>
            <w:pPr>
              <w:spacing w:before="30" w:after="30" w:line="240" w:lineRule="auto"/>
              <w:jc w:val="left"/>
            </w:pPr>
            <w:r>
              <w:rPr>
                <w:rFonts w:ascii="Arial" w:hAnsi="Arial"/>
                <w:b w:val="0"/>
                <w:color w:val="1A1A1A"/>
                <w:sz w:val="18"/>
              </w:rPr>
              <w:t>No se autoriza el acceso a la cubierta con anclaje provisional. Se paraliza el faldón norte</w:t>
            </w:r>
          </w:p>
        </w:tc>
        <w:tc>
          <w:tcPr>
            <w:tcW w:type="dxa" w:w="2619"/>
            <w:vAlign w:val="top"/>
          </w:tcPr>
          <w:p>
            <w:pPr>
              <w:spacing w:before="30" w:after="30" w:line="240" w:lineRule="auto"/>
              <w:jc w:val="left"/>
            </w:pPr>
            <w:r>
              <w:rPr>
                <w:rFonts w:ascii="Arial" w:hAnsi="Arial"/>
                <w:b w:val="0"/>
                <w:color w:val="1A1A1A"/>
                <w:sz w:val="18"/>
              </w:rPr>
              <w:t>M. R. Peña</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El apartado 3 es el que separa un seguimiento real de un fichero de seguimiento. Casi todos los expedientes tienen acciones «ejecutadas» y ningún apartado de incidencias. Un plan en el que nunca ha pasado nada, en el que no ha habido una presión de plazo, una propuesta de material no certificado o un ajuste de calendario, probablemente no se está siguiendo: se está rellenando.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7 · Seguimiento de responsables, plazos y eficacia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