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R15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Revisión periódica de expedientes CAE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pPr>
        <w:pStyle w:val="ListBullet"/>
        <w:ind w:left="360" w:hanging="173"/>
      </w:pPr>
      <w:r>
        <w:t>Contratas activas y servicios próximos revisados.</w:t>
      </w:r>
    </w:p>
    <w:p>
      <w:pPr>
        <w:pStyle w:val="ListBullet"/>
        <w:ind w:left="360" w:hanging="173"/>
      </w:pPr>
      <w:r>
        <w:t>Contactos y responsables vigentes.</w:t>
      </w:r>
    </w:p>
    <w:p>
      <w:pPr>
        <w:pStyle w:val="ListBullet"/>
        <w:ind w:left="360" w:hanging="173"/>
      </w:pPr>
      <w:r>
        <w:t>Requisitos que han cambiado o necesitan justificación.</w:t>
      </w:r>
    </w:p>
    <w:p>
      <w:pPr>
        <w:pStyle w:val="ListBullet"/>
        <w:ind w:left="360" w:hanging="173"/>
      </w:pPr>
      <w:r>
        <w:t>Documentos vencidos cuando la vigencia sea pertinente.</w:t>
      </w:r>
    </w:p>
    <w:p>
      <w:pPr>
        <w:pStyle w:val="ListBullet"/>
        <w:ind w:left="360" w:hanging="173"/>
      </w:pPr>
      <w:r>
        <w:t>Cambios de tarea o personal no cerrados.</w:t>
      </w:r>
    </w:p>
    <w:p>
      <w:pPr>
        <w:pStyle w:val="ListBullet"/>
        <w:ind w:left="360" w:hanging="173"/>
      </w:pPr>
      <w:r>
        <w:t>Incidencias abiertas y acciones correctoras vencidas.</w:t>
      </w:r>
    </w:p>
    <w:p>
      <w:pPr>
        <w:pStyle w:val="ListBullet"/>
        <w:ind w:left="360" w:hanging="173"/>
      </w:pPr>
      <w:r>
        <w:t>Instrucciones del centro actualizadas.</w:t>
      </w:r>
    </w:p>
    <w:p>
      <w:pPr>
        <w:pStyle w:val="ListBullet"/>
        <w:ind w:left="360" w:hanging="173"/>
      </w:pPr>
      <w:r>
        <w:t>Accesos y permisos coherentes con la actividad real.</w:t>
      </w:r>
    </w:p>
    <w:p>
      <w:pPr>
        <w:pStyle w:val="ListBullet"/>
        <w:ind w:left="360" w:hanging="173"/>
      </w:pPr>
      <w:r>
        <w:t>Subcontratación identificada.</w:t>
      </w:r>
    </w:p>
    <w:p>
      <w:pPr>
        <w:pStyle w:val="ListBullet"/>
        <w:ind w:left="360" w:hanging="173"/>
      </w:pPr>
      <w:r>
        <w:t>Protección de datos y permisos de carpeta revisados.</w:t>
      </w:r>
    </w:p>
    <w:p>
      <w:pPr>
        <w:pStyle w:val="ListBullet"/>
        <w:ind w:left="360" w:hanging="173"/>
      </w:pPr>
      <w:r>
        <w:t>Fuentes normativas comprobadas cuando procede.</w:t>
      </w:r>
    </w:p>
    <w:p>
      <w:pPr>
        <w:pStyle w:val="ListBullet"/>
        <w:ind w:left="360" w:hanging="173"/>
      </w:pPr>
      <w:r>
        <w:t>Acciones de mejora, responsable y fecha.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R15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R15 · Revisión periódica de expedientes CAE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