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R18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Matriz «continuar, subsanar o detener»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t>Completa una ficha por incidencia. No uses una fila abreviada para decidir sobre un riesgo importante.</w:t>
      </w:r>
    </w:p>
    <w:p>
      <w:r>
        <w:rPr>
          <w:b/>
        </w:rPr>
        <w:t>Situación observada:</w:t>
      </w:r>
    </w:p>
    <w:p>
      <w:r>
        <w:t>__________________________________________________________________</w:t>
      </w:r>
    </w:p>
    <w:p>
      <w:r>
        <w:rPr>
          <w:b/>
        </w:rPr>
        <w:t>Pregunta de análisis:</w:t>
      </w:r>
      <w:r>
        <w:t xml:space="preserve"> ¿qué condición, obligación o riesgo está en juego?</w:t>
      </w:r>
    </w:p>
    <w:p>
      <w:r>
        <w:t>__________________________________________________________________</w:t>
      </w:r>
    </w:p>
    <w:p>
      <w:r>
        <w:rPr>
          <w:b/>
        </w:rPr>
        <w:t>Decisión provisional:</w:t>
      </w:r>
      <w:r>
        <w:t xml:space="preserve"> continuar conforme al procedimiento / subsanar / no iniciar o detener la parte afectada / escalar para revisión.</w:t>
      </w:r>
    </w:p>
    <w:p>
      <w:r>
        <w:rPr>
          <w:b/>
        </w:rPr>
        <w:t>Quién debe intervenir:</w:t>
      </w:r>
    </w:p>
    <w:p>
      <w:r>
        <w:t>__________________________________________________________________</w:t>
      </w:r>
    </w:p>
    <w:p>
      <w:r>
        <w:rPr>
          <w:b/>
        </w:rPr>
        <w:t>Acción pendiente y plazo:</w:t>
      </w:r>
    </w:p>
    <w:p>
      <w:r>
        <w:t>__________________________________________________________________</w:t>
      </w:r>
    </w:p>
    <w:p>
      <w:r>
        <w:rPr>
          <w:b/>
        </w:rPr>
        <w:t>Evidencia de cierre y quién la verifica:</w:t>
      </w:r>
    </w:p>
    <w:p>
      <w:r>
        <w:t>__________________________________________________________________</w:t>
      </w:r>
    </w:p>
    <w:p>
      <w:r>
        <w:rPr>
          <w:b/>
        </w:rPr>
        <w:t>Situaciones de referencia</w:t>
      </w:r>
    </w:p>
    <w:p>
      <w:pPr>
        <w:pStyle w:val="ListBullet"/>
        <w:ind w:left="360" w:hanging="173"/>
      </w:pPr>
      <w:r>
        <w:t>Falta una evidencia documental: comprobar si acredita una condición esencial legal u operativa.</w:t>
      </w:r>
    </w:p>
    <w:p>
      <w:pPr>
        <w:pStyle w:val="ListBullet"/>
        <w:ind w:left="360" w:hanging="173"/>
      </w:pPr>
      <w:r>
        <w:t>Cambia la tarea: revisar si la evaluación y coordinación cubren el nuevo alcance.</w:t>
      </w:r>
    </w:p>
    <w:p>
      <w:pPr>
        <w:pStyle w:val="ListBullet"/>
        <w:ind w:left="360" w:hanging="173"/>
      </w:pPr>
      <w:r>
        <w:t>Aparece una persona no prevista: verificar los requisitos aplicables a esa persona y actividad.</w:t>
      </w:r>
    </w:p>
    <w:p>
      <w:pPr>
        <w:pStyle w:val="ListBullet"/>
        <w:ind w:left="360" w:hanging="173"/>
      </w:pPr>
      <w:r>
        <w:t>Hay instrucciones contradictorias: confirmar la versión vigente y quién puede aclararla.</w:t>
      </w:r>
    </w:p>
    <w:p>
      <w:pPr>
        <w:pStyle w:val="ListBullet"/>
        <w:ind w:left="360" w:hanging="173"/>
      </w:pPr>
      <w:r>
        <w:t>Se detecta una condición insegura: activar el procedimiento de parada o emergencia que corresponda.</w:t>
      </w:r>
    </w:p>
    <w:p>
      <w:pPr>
        <w:pStyle w:val="ListBullet"/>
        <w:ind w:left="360" w:hanging="173"/>
      </w:pPr>
      <w:r>
        <w:t>Una plataforma rechaza una evidencia aparentemente válida: solicitar motivo, revisión y decisión trazable.</w:t>
      </w:r>
    </w:p>
    <w:p>
      <w:r>
        <w:t>La matriz es una ayuda para razonar. No sustituye la evaluación de riesgos ni la autoridad prevista en procedimientos específicos.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R18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R18 · Matriz «continuar, subsanar o detener»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