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R19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Registro de cambios normativos y de procedimientos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Revisión 1</w:t>
      </w:r>
    </w:p>
    <w:p>
      <w:pPr>
        <w:pStyle w:val="ListBullet"/>
        <w:ind w:left="360" w:hanging="173"/>
      </w:pPr>
      <w:r>
        <w:t>Fecha de revisión:</w:t>
      </w:r>
    </w:p>
    <w:p>
      <w:pPr>
        <w:pStyle w:val="ListBullet"/>
        <w:ind w:left="360" w:hanging="173"/>
      </w:pPr>
      <w:r>
        <w:t>Norma o fuente oficial:</w:t>
      </w:r>
    </w:p>
    <w:p>
      <w:pPr>
        <w:pStyle w:val="ListBullet"/>
        <w:ind w:left="360" w:hanging="173"/>
      </w:pPr>
      <w:r>
        <w:t>Qué se ha comprobado:</w:t>
      </w:r>
    </w:p>
    <w:p>
      <w:pPr>
        <w:pStyle w:val="ListBullet"/>
        <w:ind w:left="360" w:hanging="173"/>
      </w:pPr>
      <w:r>
        <w:t>Impacto posible:</w:t>
      </w:r>
    </w:p>
    <w:p>
      <w:pPr>
        <w:pStyle w:val="ListBullet"/>
        <w:ind w:left="360" w:hanging="173"/>
      </w:pPr>
      <w:r>
        <w:t>Procedimiento o plantilla afectada:</w:t>
      </w:r>
    </w:p>
    <w:p>
      <w:pPr>
        <w:pStyle w:val="ListBullet"/>
        <w:ind w:left="360" w:hanging="173"/>
      </w:pPr>
      <w:r>
        <w:t>Responsable de revisar:</w:t>
      </w:r>
    </w:p>
    <w:p>
      <w:pPr>
        <w:pStyle w:val="ListBullet"/>
        <w:ind w:left="360" w:hanging="173"/>
      </w:pPr>
      <w:r>
        <w:t>Acción y fecha límite:</w:t>
      </w:r>
    </w:p>
    <w:p>
      <w:r>
        <w:rPr>
          <w:b/>
        </w:rPr>
        <w:t>Revisión 2</w:t>
      </w:r>
    </w:p>
    <w:p>
      <w:pPr>
        <w:pStyle w:val="ListBullet"/>
        <w:ind w:left="360" w:hanging="173"/>
      </w:pPr>
      <w:r>
        <w:t>Fecha de revisión:</w:t>
      </w:r>
    </w:p>
    <w:p>
      <w:pPr>
        <w:pStyle w:val="ListBullet"/>
        <w:ind w:left="360" w:hanging="173"/>
      </w:pPr>
      <w:r>
        <w:t>Norma o fuente oficial:</w:t>
      </w:r>
    </w:p>
    <w:p>
      <w:pPr>
        <w:pStyle w:val="ListBullet"/>
        <w:ind w:left="360" w:hanging="173"/>
      </w:pPr>
      <w:r>
        <w:t>Qué se ha comprobado:</w:t>
      </w:r>
    </w:p>
    <w:p>
      <w:pPr>
        <w:pStyle w:val="ListBullet"/>
        <w:ind w:left="360" w:hanging="173"/>
      </w:pPr>
      <w:r>
        <w:t>Impacto posible:</w:t>
      </w:r>
    </w:p>
    <w:p>
      <w:pPr>
        <w:pStyle w:val="ListBullet"/>
        <w:ind w:left="360" w:hanging="173"/>
      </w:pPr>
      <w:r>
        <w:t>Procedimiento o plantilla afectada:</w:t>
      </w:r>
    </w:p>
    <w:p>
      <w:pPr>
        <w:pStyle w:val="ListBullet"/>
        <w:ind w:left="360" w:hanging="173"/>
      </w:pPr>
      <w:r>
        <w:t>Responsable de revisar:</w:t>
      </w:r>
    </w:p>
    <w:p>
      <w:pPr>
        <w:pStyle w:val="ListBullet"/>
        <w:ind w:left="360" w:hanging="173"/>
      </w:pPr>
      <w:r>
        <w:t>Acción y fecha límite:</w:t>
      </w:r>
    </w:p>
    <w:p>
      <w:r>
        <w:t>Usa fuentes oficiales y anota si se trata de una modificación publicada, una guía técnica o una recomendación. Una guía del INSST orienta técnicamente, pero no es lo mismo que un precepto legal.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R19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R19 · Registro de cambios normativos y de procedimientos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