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B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PLANTILLA DE PROTOCOLO — GRAN EMPRESA / GRUPO (GUÍA DE ADAPTACIÓN)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Anexo A contiene el texto completo válido para cualquier empresa. Este anexo detalla las adaptaciones necesarias para organizaciones grandes, grupos de empresas y estructuras con varios centros. No sustituye al Anexo A: lo completa. La versión Word editable de ambas plantillas se descarga desde el QR.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B.1. Lo que cambia en una gran empresa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Comisiones por centro o ámbito.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comisión única es inviable con varios centros y turnos. La estructura recomendada: una comisión de ámbito estatal o de grupo que garantice la coherencia, y comisiones delegadas por centro o división, con al menos tres miembros cada una y suplentes. Regla de oro: la comisión delegada no puede instruir casos en los que esté implicado su propio responsable de centro —esos casos suben al ámbito superior.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Coordinación obligatoria con otros sistemas.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En la gran empresa el protocolo convive con: el plan de igualdad (que contiene su propio protocolo de acoso sexual y por razón de sexo), el canal interno de la Ley 2/2023, el servicio de prevención (propio o ajeno) y, cada vez más, la política de compliance del grupo. El protocolo debe contener un artículo expreso de coordinación: qué instrumento prevalece, quién deriva a quién y en qué plazos. La ausencia de ese artículo es la causa del 80% de los conflictos internos de competencia que luego se exhiben en los juicios.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Negociación con la representación legal de los trabajadores.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En empresas con representación sindical, el protocolo del plan de igualdad se negocia; el protocolo general de acoso laboral conviene acordarlo o, al menos, consultarlo. La implantación unilateral de un protocolo que afecta a condiciones de trabajo es terreno fértil para la impugnación. La vía segura: negociación, acuerdo por escrito y difusión conjunta.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Protección de datos a escala.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Con varios centros y terceros (ETT, contratas), el flujo de datos del expediente debe mapearse: quién trata qué, con qué base, con qué acceso y con qué conservación. Un registro de actividades de tratamiento específico del protocolo, por breve que sea, ahorra problemas.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B.2. Artículos adicionales para la plantilla de gran empresa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Artículo X. Ámbito de coordinación.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Las denuncias de acoso se tramitarán por el presente protocolo. Las que entren por el canal interno de la Ley 2/2023 se derivarán a la comisión competente en 48 horas, manteniéndose todas las garantías de protección del informante. Las denuncias de acoso sexual y por razón de sexo se tramitarán por el procedimiento del plan de igualdad cuando este prevea un cauce específico, sin perjuicio de la aplicación supletoria de este protocolo.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Artículo Y. Comisiones delegadas.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[DESCRIBIR LAS COMISIONES POR CENTRO CON SUS MIEMBROS Y SUPLENTES, Y LOS SUPUESTOS DE ELEVACIÓN AL ÁMBITO SUPERIOR: implicación de mandos del centro, complejidad, riesgo de parcialidad.]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Artículo Z. Formación y difusión.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La formación en este protocolo es obligatoria para [DIRECCIÓN, MANDOS, RRHH Y MIEMBROS DE COMISIONES] con periodicidad [ANUAL/BIENAL], y de oferta general para el resto de la plantilla, con registro de asistencia. La difusión incluye [INTRANET, ONBOARDING, TABLONES, CONTRATAS].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B.3. Checklist de adaptación gran empresa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Comisiones designadas por nombre en cada centro, con suplentes.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Reglas de elevación de casos al ámbito superior, por escrito.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Artículo de coordinación con plan de igualdad, canal interno y PRL.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Protocolo negociado o consultado con la RLT, con acta.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5. </w:t>
      </w:r>
      <w:r>
        <w:rPr>
          <w:rFonts w:ascii="Georgia" w:hAnsi="Georgia" w:cs="Georgia"/>
          <w:b w:val="0"/>
          <w:i w:val="0"/>
          <w:color w:val="000000"/>
          <w:sz w:val="21"/>
        </w:rPr>
        <w:t>Formación específica de comisiones y mandos, con registro.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6. </w:t>
      </w:r>
      <w:r>
        <w:rPr>
          <w:rFonts w:ascii="Georgia" w:hAnsi="Georgia" w:cs="Georgia"/>
          <w:b w:val="0"/>
          <w:i w:val="0"/>
          <w:color w:val="000000"/>
          <w:sz w:val="21"/>
        </w:rPr>
        <w:t>Registro de actividades de tratamiento del expediente (RGPD).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7. </w:t>
      </w:r>
      <w:r>
        <w:rPr>
          <w:rFonts w:ascii="Georgia" w:hAnsi="Georgia" w:cs="Georgia"/>
          <w:b w:val="0"/>
          <w:i w:val="0"/>
          <w:color w:val="000000"/>
          <w:sz w:val="21"/>
        </w:rPr>
        <w:t>Protocolo de grupo con adaptación expresa a cada sociedad y convenio.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8. </w:t>
      </w:r>
      <w:r>
        <w:rPr>
          <w:rFonts w:ascii="Georgia" w:hAnsi="Georgia" w:cs="Georgia"/>
          <w:b w:val="0"/>
          <w:i w:val="0"/>
          <w:color w:val="000000"/>
          <w:sz w:val="21"/>
        </w:rPr>
        <w:t>Revisión anual con participación de la RLT.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B · PROTOCOLO — GRAN EMPRESA / GRUPO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