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cs="Arial"/>
          <w:b/>
          <w:i w:val="0"/>
          <w:color w:val="000000"/>
          <w:sz w:val="22"/>
        </w:rPr>
        <w:t>ANEXO G</w:t>
      </w:r>
    </w:p>
    <w:p>
      <w:pPr>
        <w:spacing w:after="320"/>
        <w:keepNext/>
        <w:pBdr>
          <w:bottom w:val="single" w:sz="8" w:space="4" w:color="000000"/>
        </w:pBdr>
      </w:pPr>
      <w:r>
        <w:rPr>
          <w:rFonts w:ascii="Arial" w:hAnsi="Arial" w:cs="Arial"/>
          <w:b/>
          <w:i w:val="0"/>
          <w:color w:val="000000"/>
          <w:sz w:val="33"/>
        </w:rPr>
        <w:t>ESQUEMA PROCESAL DE PLAZOS (VÍA LABORAL, PENAL Y ADMINISTRATIVA)</w:t>
      </w:r>
    </w:p>
    <w:p>
      <w:r>
        <w:rPr>
          <w:rFonts w:ascii="Georgia" w:hAnsi="Georgia" w:cs="Georgia"/>
          <w:b w:val="0"/>
          <w:i w:val="0"/>
          <w:color w:val="000000"/>
          <w:sz w:val="21"/>
        </w:rPr>
        <w:t>El mapa de tiempos que evita caducidades. Los plazos judiciales son de días hábiles salvo indicación expresa; los de prescripción, naturales. Ante la duda, el plazo más corto manda: en el despido, 20 días hábiles sin prórroga posible.</w:t>
      </w:r>
    </w:p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G.1. La cuenta atrás del despido: 20 días hábiles</w:t>
      </w:r>
    </w:p>
    <w:tbl>
      <w:tblPr>
        <w:tblW w:type="dxa" w:w="6335"/>
        <w:tblLook w:firstColumn="1" w:firstRow="1" w:lastColumn="0" w:lastRow="0" w:noHBand="0" w:noVBand="1" w:val="04A0"/>
        <w:jc w:val="center"/>
        <w:tblInd w:w="0" w:type="dxa"/>
        <w:tblLayout w:type="fixed"/>
      </w:tblPr>
      <w:tblGrid>
        <w:gridCol w:w="2112"/>
        <w:gridCol w:w="2112"/>
        <w:gridCol w:w="2112"/>
      </w:tblGrid>
      <w:tr>
        <w:tc>
          <w:tcPr>
            <w:tcW w:type="dxa" w:w="2112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</w:rPr>
              <w:t>Paso</w:t>
            </w:r>
          </w:p>
        </w:tc>
        <w:tc>
          <w:tcPr>
            <w:tcW w:type="dxa" w:w="2112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</w:rPr>
              <w:t>Plazo</w:t>
            </w:r>
          </w:p>
        </w:tc>
        <w:tc>
          <w:tcPr>
            <w:tcW w:type="dxa" w:w="2112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Entrega de la carta de despido</w:t>
            </w:r>
          </w:p>
        </w:tc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Día 0</w:t>
            </w:r>
          </w:p>
        </w:tc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El plazo corre desde el día siguiente</w:t>
            </w:r>
          </w:p>
        </w:tc>
      </w:tr>
      <w:tr>
        <w:tc>
          <w:tcPr>
            <w:tcW w:type="dxa" w:w="211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Papeleta de conciliación ante el SMAC/órgano equivalente</w:t>
            </w:r>
          </w:p>
        </w:tc>
        <w:tc>
          <w:tcPr>
            <w:tcW w:type="dxa" w:w="211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Dentro de los 20 días hábiles</w:t>
            </w:r>
          </w:p>
        </w:tc>
        <w:tc>
          <w:tcPr>
            <w:tcW w:type="dxa" w:w="211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La papeleta suspende la caducidad</w:t>
            </w:r>
          </w:p>
        </w:tc>
      </w:tr>
      <w:tr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Intento de conciliación</w:t>
            </w:r>
          </w:p>
        </w:tc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Se cita en ~15-30 días</w:t>
            </w:r>
          </w:p>
        </w:tc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Con o sin avenencia, se extiende acta</w:t>
            </w:r>
          </w:p>
        </w:tc>
      </w:tr>
      <w:tr>
        <w:tc>
          <w:tcPr>
            <w:tcW w:type="dxa" w:w="211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Demanda</w:t>
            </w:r>
          </w:p>
        </w:tc>
        <w:tc>
          <w:tcPr>
            <w:tcW w:type="dxa" w:w="211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20 días hábiles desde el intento (o desde la presentación de la papeleta, según el cómputo legal)</w:t>
            </w:r>
          </w:p>
        </w:tc>
        <w:tc>
          <w:tcPr>
            <w:tcW w:type="dxa" w:w="211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El cómputo exacto es técnico: no improvises, asesórate</w:t>
            </w:r>
          </w:p>
        </w:tc>
      </w:tr>
      <w:tr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Juicio y sentencia</w:t>
            </w:r>
          </w:p>
        </w:tc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Meses</w:t>
            </w:r>
          </w:p>
        </w:tc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La nulidad trae readmisión y daño moral</w:t>
            </w:r>
          </w:p>
        </w:tc>
      </w:tr>
    </w:tbl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G.2. Las demás vías</w:t>
      </w:r>
    </w:p>
    <w:p>
      <w:pPr>
        <w:spacing w:after="40" w:line="240" w:lineRule="auto"/>
      </w:pPr>
      <w:r>
        <w:rPr>
          <w:rFonts w:ascii="Georgia" w:hAnsi="Georgia" w:cs="Georgia"/>
          <w:b w:val="0"/>
          <w:i w:val="0"/>
          <w:color w:val="000000"/>
          <w:sz w:val="4"/>
        </w:rPr>
        <w:t xml:space="preserve"> </w:t>
      </w:r>
    </w:p>
    <w:tbl>
      <w:tblPr>
        <w:tblW w:type="dxa" w:w="6335"/>
        <w:tblLook w:firstColumn="1" w:firstRow="1" w:lastColumn="0" w:lastRow="0" w:noHBand="0" w:noVBand="1" w:val="04A0"/>
        <w:jc w:val="center"/>
        <w:tblInd w:w="0" w:type="dxa"/>
        <w:tblLayout w:type="fixed"/>
      </w:tblPr>
      <w:tblGrid>
        <w:gridCol w:w="2112"/>
        <w:gridCol w:w="2112"/>
        <w:gridCol w:w="2112"/>
      </w:tblGrid>
      <w:tr>
        <w:tc>
          <w:tcPr>
            <w:tcW w:type="dxa" w:w="2112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</w:rPr>
              <w:t>Vía</w:t>
            </w:r>
          </w:p>
        </w:tc>
        <w:tc>
          <w:tcPr>
            <w:tcW w:type="dxa" w:w="2112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</w:rPr>
              <w:t>Plazo clave</w:t>
            </w:r>
          </w:p>
        </w:tc>
        <w:tc>
          <w:tcPr>
            <w:tcW w:type="dxa" w:w="2112"/>
            <w:shd w:val="clear" w:fill="000000"/>
            <w:tcBorders>
              <w:top w:val="single" w:sz="4" w:color="000000"/>
              <w:bottom w:val="single" w:sz="4" w:color="000000"/>
              <w:start w:val="single" w:sz="4" w:color="000000"/>
              <w:end w:val="single" w:sz="4" w:color="000000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9"/>
              </w:rPr>
              <w:t>Desde cuándo corre</w:t>
            </w:r>
          </w:p>
        </w:tc>
      </w:tr>
      <w:tr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Extinción ex art. 50 ET</w:t>
            </w:r>
          </w:p>
        </w:tc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1 año</w:t>
            </w:r>
          </w:p>
        </w:tc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Desde el incumplimiento grave del empresario</w:t>
            </w:r>
          </w:p>
        </w:tc>
      </w:tr>
      <w:tr>
        <w:tc>
          <w:tcPr>
            <w:tcW w:type="dxa" w:w="211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Reclamación de daños por acoso</w:t>
            </w:r>
          </w:p>
        </w:tc>
        <w:tc>
          <w:tcPr>
            <w:tcW w:type="dxa" w:w="211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1 año</w:t>
            </w:r>
          </w:p>
        </w:tc>
        <w:tc>
          <w:tcPr>
            <w:tcW w:type="dxa" w:w="211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Desde que pudo ejercitarse (último episodio, baja, conocimiento del daño)</w:t>
            </w:r>
          </w:p>
        </w:tc>
      </w:tr>
      <w:tr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Denuncia ante la Inspección de Trabajo</w:t>
            </w:r>
          </w:p>
        </w:tc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Sin plazo estricto, pero la inmediatez da credibilidad</w:t>
            </w:r>
          </w:p>
        </w:tc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Cuanto antes</w:t>
            </w:r>
          </w:p>
        </w:tc>
      </w:tr>
      <w:tr>
        <w:tc>
          <w:tcPr>
            <w:tcW w:type="dxa" w:w="211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Denuncia interna</w:t>
            </w:r>
          </w:p>
        </w:tc>
        <w:tc>
          <w:tcPr>
            <w:tcW w:type="dxa" w:w="211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Sin plazo legal, pero el indicio temporal vale por diez</w:t>
            </w:r>
          </w:p>
        </w:tc>
        <w:tc>
          <w:tcPr>
            <w:tcW w:type="dxa" w:w="211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Cuanto antes</w:t>
            </w:r>
          </w:p>
        </w:tc>
      </w:tr>
      <w:tr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Querella/denuncia penal por trato degradante (art. 173.1 CP)</w:t>
            </w:r>
          </w:p>
        </w:tc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Según el delito: prescripción del tipo aplicable</w:t>
            </w:r>
          </w:p>
        </w:tc>
        <w:tc>
          <w:tcPr>
            <w:tcW w:type="dxa" w:w="211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Desde la comisión</w:t>
            </w:r>
          </w:p>
        </w:tc>
      </w:tr>
      <w:tr>
        <w:tc>
          <w:tcPr>
            <w:tcW w:type="dxa" w:w="211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Recargo de prestaciones (art. 164 LGSS)</w:t>
            </w:r>
          </w:p>
        </w:tc>
        <w:tc>
          <w:tcPr>
            <w:tcW w:type="dxa" w:w="211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5 años</w:t>
            </w:r>
          </w:p>
        </w:tc>
        <w:tc>
          <w:tcPr>
            <w:tcW w:type="dxa" w:w="2112"/>
            <w:shd w:val="clear" w:fill="F2F2F2"/>
            <w:tcBorders>
              <w:top w:val="single" w:sz="4" w:color="9A9A9A"/>
              <w:bottom w:val="single" w:sz="4" w:color="9A9A9A"/>
              <w:start w:val="single" w:sz="4" w:color="9A9A9A"/>
              <w:end w:val="single" w:sz="4" w:color="9A9A9A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0"/>
            </w:pPr>
            <w:r>
              <w:rPr>
                <w:rFonts w:ascii="Georgia" w:hAnsi="Georgia" w:cs="Georgia"/>
                <w:b w:val="0"/>
                <w:i w:val="0"/>
                <w:color w:val="000000"/>
                <w:sz w:val="19"/>
              </w:rPr>
              <w:t>Prescripción de infracciones en materia de SS</w:t>
            </w:r>
          </w:p>
        </w:tc>
      </w:tr>
    </w:tbl>
    <w:p>
      <w:pPr>
        <w:spacing w:before="240" w:after="120"/>
        <w:keepNext/>
      </w:pPr>
      <w:r>
        <w:rPr>
          <w:rFonts w:ascii="Arial" w:hAnsi="Arial" w:cs="Arial"/>
          <w:b/>
          <w:i w:val="0"/>
          <w:color w:val="000000"/>
          <w:sz w:val="24"/>
        </w:rPr>
        <w:t>G.3. La secuencia recomendada (una imagen)</w:t>
      </w:r>
    </w:p>
    <w:p>
      <w:pPr>
        <w:spacing w:after="40" w:line="240" w:lineRule="auto"/>
      </w:pPr>
      <w:r>
        <w:rPr>
          <w:rFonts w:ascii="Georgia" w:hAnsi="Georgia" w:cs="Georgia"/>
          <w:b w:val="0"/>
          <w:i w:val="0"/>
          <w:color w:val="000000"/>
          <w:sz w:val="4"/>
        </w:rPr>
        <w:t xml:space="preserve"> 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1. </w:t>
      </w:r>
      <w:r>
        <w:rPr>
          <w:rFonts w:ascii="Georgia" w:hAnsi="Georgia" w:cs="Georgia"/>
          <w:b/>
          <w:i w:val="0"/>
          <w:color w:val="000000"/>
          <w:sz w:val="21"/>
        </w:rPr>
        <w:t>Día 0: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documentar + denuncia interna por escrito (constancia).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2. </w:t>
      </w:r>
      <w:r>
        <w:rPr>
          <w:rFonts w:ascii="Georgia" w:hAnsi="Georgia" w:cs="Georgia"/>
          <w:b/>
          <w:i w:val="0"/>
          <w:color w:val="000000"/>
          <w:sz w:val="21"/>
        </w:rPr>
        <w:t>Semana 1: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denuncia ante la Inspección (informe oficial en semanas/meses).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3. </w:t>
      </w:r>
      <w:r>
        <w:rPr>
          <w:rFonts w:ascii="Georgia" w:hAnsi="Georgia" w:cs="Georgia"/>
          <w:b/>
          <w:i w:val="0"/>
          <w:color w:val="000000"/>
          <w:sz w:val="21"/>
        </w:rPr>
        <w:t>Si hay despido: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papeleta de conciliación antes del día 20 hábil. Innegociable.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4. </w:t>
      </w:r>
      <w:r>
        <w:rPr>
          <w:rFonts w:ascii="Georgia" w:hAnsi="Georgia" w:cs="Georgia"/>
          <w:b/>
          <w:i w:val="0"/>
          <w:color w:val="000000"/>
          <w:sz w:val="21"/>
        </w:rPr>
        <w:t>Sin despido: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valorar extinción ex art. 50 o demanda de daños (1 año).</w:t>
      </w:r>
    </w:p>
    <w:p>
      <w:pPr>
        <w:spacing w:after="80"/>
        <w:ind w:left="360"/>
      </w:pPr>
      <w:r>
        <w:rPr>
          <w:rFonts w:ascii="Arial" w:hAnsi="Arial" w:cs="Arial"/>
          <w:b/>
          <w:i w:val="0"/>
          <w:color w:val="000000"/>
          <w:sz w:val="21"/>
        </w:rPr>
        <w:t xml:space="preserve">5. </w:t>
      </w:r>
      <w:r>
        <w:rPr>
          <w:rFonts w:ascii="Georgia" w:hAnsi="Georgia" w:cs="Georgia"/>
          <w:b/>
          <w:i w:val="0"/>
          <w:color w:val="000000"/>
          <w:sz w:val="21"/>
        </w:rPr>
        <w:t>Casos graves:</w:t>
      </w:r>
      <w:r>
        <w:rPr>
          <w:rFonts w:ascii="Georgia" w:hAnsi="Georgia" w:cs="Georgia"/>
          <w:b w:val="0"/>
          <w:i w:val="0"/>
          <w:color w:val="000000"/>
          <w:sz w:val="21"/>
        </w:rPr>
        <w:t xml:space="preserve"> denuncia penal, en paralelo, con la sentencia laboral como refuerzo.</w:t>
      </w:r>
    </w:p>
    <w:tbl>
      <w:tblPr>
        <w:tblW w:type="dxa" w:w="6335"/>
        <w:tblLook w:firstColumn="1" w:firstRow="1" w:lastColumn="0" w:lastRow="0" w:noHBand="0" w:noVBand="1" w:val="04A0"/>
        <w:jc w:val="center"/>
        <w:tblInd w:w="0" w:type="dxa"/>
        <w:tblLayout w:type="fixed"/>
      </w:tblPr>
      <w:tblGrid>
        <w:gridCol w:w="6336"/>
      </w:tblGrid>
      <w:tr>
        <w:tc>
          <w:tcPr>
            <w:tcW w:type="dxa" w:w="6336"/>
            <w:vAlign w:val="top"/>
            <w:shd w:val="clear" w:fill="E3E3E3"/>
            <w:tcBorders>
              <w:top w:val="single" w:sz="4" w:color="7F7F7F"/>
              <w:bottom w:val="single" w:sz="4" w:color="7F7F7F"/>
              <w:start w:val="single" w:sz="20" w:color="000000"/>
              <w:end w:val="single" w:sz="4" w:color="7F7F7F"/>
            </w:tcBorders>
            <w:tcMar>
              <w:top w:w="86" w:type="dxa"/>
              <w:bottom w:w="86" w:type="dxa"/>
              <w:start w:w="144" w:type="dxa"/>
              <w:end w:w="144" w:type="dxa"/>
            </w:tcMar>
          </w:tcPr>
          <w:p>
            <w:pPr>
              <w:spacing w:after="120"/>
            </w:pPr>
            <w:r>
              <w:rPr>
                <w:rFonts w:ascii="Arial" w:hAnsi="Arial" w:cs="Arial"/>
                <w:b/>
                <w:i w:val="0"/>
                <w:color w:val="000000"/>
                <w:sz w:val="19"/>
              </w:rPr>
              <w:t>⚠ ALERTA JURÍDICA / RIESGO EMPRESARIAL</w:t>
            </w:r>
            <w:r>
              <w:rPr>
                <w:rFonts w:ascii="Georgia" w:hAnsi="Georgia" w:cs="Georgia"/>
                <w:b w:val="0"/>
                <w:i w:val="0"/>
                <w:color w:val="000000"/>
                <w:sz w:val="20"/>
              </w:rPr>
              <w:t>La vía interna NO suspende ningún plazo. El trabajador que espera "a ver qué dice la empresa" puede encontrarse con que la acción ha caducado. Y la empresa que tarda meses en responder a una denuncia interna no gana tiempo: lo pierde, porque cada día de silencio es un indicio más contra ella.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headerReference w:type="even" r:id="rId11"/>
      <w:pgSz w:w="8640" w:h="12960"/>
      <w:pgMar w:top="1224" w:right="936" w:bottom="1080" w:left="1368" w:header="648" w:footer="576" w:gutter="0"/>
      <w:cols w:space="720"/>
      <w:titlePg/>
      <w:docGrid w:linePitch="360"/>
      <w:mirrorMargin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  <w:r>
      <w:tab/>
    </w:r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336" w:val="right"/>
      </w:tabs>
      <w:spacing w:after="0"/>
      <w:pBdr>
        <w:bottom w:val="single" w:sz="4" w:space="4" w:color="BFBFBF"/>
      </w:pBdr>
    </w:pPr>
    <w:r/>
    <w:r>
      <w:rPr>
        <w:rFonts w:ascii="Arial" w:hAnsi="Arial" w:cs="Arial"/>
        <w:b w:val="0"/>
        <w:i w:val="0"/>
        <w:color w:val="595959"/>
        <w:sz w:val="15"/>
      </w:rPr>
      <w:t>ACOSO LABORAL EN LA EMPRESA PRIVADA</w:t>
    </w:r>
    <w:r>
      <w:tab/>
    </w:r>
    <w:r>
      <w:rPr>
        <w:rFonts w:ascii="Arial" w:hAnsi="Arial" w:cs="Arial"/>
        <w:b w:val="0"/>
        <w:i w:val="0"/>
        <w:color w:val="595959"/>
        <w:sz w:val="15"/>
      </w:rPr>
      <w:fldChar w:fldCharType="begin"/>
    </w:r>
    <w:r>
      <w:rPr>
        <w:rFonts w:ascii="Arial" w:hAnsi="Arial" w:cs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cs="Arial"/>
        <w:b w:val="0"/>
        <w:i w:val="0"/>
        <w:color w:val="595959"/>
        <w:sz w:val="15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  <w:autoHyphenation w:val="true"/>
  <w:hyphenationZone w:val="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  <w:jc w:val="both"/>
    </w:pPr>
    <w:rPr>
      <w:rFonts w:ascii="Georgia" w:hAnsi="Georgia"/>
      <w:sz w:val="21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Definitiva contra el Acoso Laboral en la Empresa Privada — ANEXO G · ESQUEMA PROCESAL DE PLAZOS</dc:title>
  <dc:subject>Acoso laboral en la empresa privada</dc:subject>
  <dc:creator>E. J. López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