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I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CHECKLIST DE AUDITORÍA DE CUMPLIMIENTO (30 PUNTOS, FORMATO OPERATIVO)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Versión operativa del checklist del capítulo 6, lista para usar en la auditoría anual. Marca ✓ (cumple), ✗ (no cumple) o — (no aplica, justificar), y asigna responsable y fecha de corrección por cada ✗. Imprímela, complétala en la reunión de dirección y archívala con acta. La versión Word editable se descarga desde el QR.</w:t>
      </w:r>
    </w:p>
    <w:tbl>
      <w:tblPr>
        <w:tblW w:type="dxa" w:w="6335"/>
        <w:tblLook w:firstColumn="1" w:firstRow="1" w:lastColumn="0" w:lastRow="0" w:noHBand="0" w:noVBand="1" w:val="04A0"/>
        <w:jc w:val="center"/>
        <w:tblInd w:w="0" w:type="dxa"/>
        <w:tblLayout w:type="fixed"/>
      </w:tblPr>
      <w:tblGrid>
        <w:gridCol w:w="1584"/>
        <w:gridCol w:w="1584"/>
        <w:gridCol w:w="1584"/>
        <w:gridCol w:w="1584"/>
      </w:tblGrid>
      <w:tr>
        <w:tc>
          <w:tcPr>
            <w:tcW w:type="dxa" w:w="1584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N.º</w:t>
            </w:r>
          </w:p>
        </w:tc>
        <w:tc>
          <w:tcPr>
            <w:tcW w:type="dxa" w:w="1584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Ítem de verificación</w:t>
            </w:r>
          </w:p>
        </w:tc>
        <w:tc>
          <w:tcPr>
            <w:tcW w:type="dxa" w:w="1584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Estado</w:t>
            </w:r>
          </w:p>
        </w:tc>
        <w:tc>
          <w:tcPr>
            <w:tcW w:type="dxa" w:w="1584"/>
            <w:shd w:val="clear" w:fill="000000"/>
            <w:tcBorders>
              <w:top w:val="single" w:sz="4" w:color="000000"/>
              <w:bottom w:val="single" w:sz="4" w:color="000000"/>
              <w:start w:val="single" w:sz="4" w:color="000000"/>
              <w:end w:val="single" w:sz="4" w:color="000000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Arial" w:hAnsi="Arial" w:cs="Arial"/>
                <w:b/>
                <w:i w:val="0"/>
                <w:color w:val="FFFFFF"/>
                <w:sz w:val="19"/>
              </w:rPr>
              <w:t>Responsable / fecha de corrección</w:t>
            </w: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Protocolo de acoso laboral, sexual y por razón de sexo, vigente y adaptado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Protocolo firmado, fechado y personalizado (no fotocopia sin adaptar)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Conductas definidas con ejemplos concretos y remisión al convenio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Comisión instructora designada por nombre y cargo, con suplentes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Formación específica de la comisión, documentada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Análisis de imparcialidad y reglas de abstención por escrito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7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Canal interno Ley 2/2023 implantado (si plantilla ≥ 50)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Responsable del sistema designado formalmente y notificado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9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Protocolo y canal conectados (derivación documentada)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Plan de igualdad con protocolo de acoso sexual (si plantilla ≥ 50)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11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Evaluación de riesgos psicosociales actualizada (menos de 3 años)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12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Medidas preventivas derivadas de la evaluación, con responsables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13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Vigilancia de la salud orientada a riesgos psicosociales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14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Formación en acoso a la plantilla en los últimos 2 años, con registro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15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Formación específica de mandos en detección y gestión de conflictos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16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Procedimiento de gestión de conflictos diferenciado del protocolo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17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Comunicación interna de la política de tolerancia cero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18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Personal externo (ETT, contratas, becarios) cubierto por el protocolo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19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Registro de denuncias recibidas con acuse de recibo en plazo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20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Expedientes tramitados con plazos, audiencias y confidencialidad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21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Medidas cautelares adoptadas y documentadas cuando procedía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22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Conclusiones comunicadas a ambas partes por escrito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23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Sanciones impuestas conforme al régimen disciplinario del convenio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24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Seguimiento de víctimas y denunciados tras el cierre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25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Sin constancia de represalias contra denunciantes de buena fe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26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Libro-registro del canal conservado con la confidencialidad exigida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27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Revisión anual del sistema por la dirección, con acta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28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Protocolo revisado tras el último expediente y tras cambios normativos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29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Póliza de RC que no excluya daños por riesgos psicosociales</w:t>
            </w: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30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 w:val="0"/>
                <w:i w:val="0"/>
                <w:color w:val="000000"/>
                <w:sz w:val="19"/>
              </w:rPr>
              <w:t>Auditoría externa del sistema en los últimos 2 años</w:t>
            </w: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  <w:tc>
          <w:tcPr>
            <w:tcW w:type="dxa" w:w="1584"/>
            <w:shd w:val="clear" w:fill="F2F2F2"/>
            <w:tcBorders>
              <w:top w:val="single" w:sz="4" w:color="9A9A9A"/>
              <w:bottom w:val="single" w:sz="4" w:color="9A9A9A"/>
              <w:start w:val="single" w:sz="4" w:color="9A9A9A"/>
              <w:end w:val="single" w:sz="4" w:color="9A9A9A"/>
            </w:tcBorders>
            <w:tcMar>
              <w:top w:w="86" w:type="dxa"/>
              <w:bottom w:w="86" w:type="dxa"/>
              <w:start w:w="144" w:type="dxa"/>
              <w:end w:w="144" w:type="dxa"/>
            </w:tcMar>
          </w:tcPr>
          <w:p>
            <w:pPr>
              <w:spacing w:after="0"/>
            </w:pPr>
          </w:p>
        </w:tc>
      </w:tr>
    </w:tbl>
    <w:p>
      <w:r>
        <w:rPr>
          <w:rFonts w:ascii="Georgia" w:hAnsi="Georgia" w:cs="Georgia"/>
          <w:b/>
          <w:i w:val="0"/>
          <w:color w:val="000000"/>
          <w:sz w:val="21"/>
        </w:rPr>
        <w:t>Criterio de evaluación: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menos de 25 ✓ → plan de corrección urgente en 30 días. De 25 a 28 ✓ → plan de mejora en 90 días. 29-30 ✓ → sistema vivo; mantener la revisión anual y registrar el acta.</w:t>
      </w:r>
    </w:p>
    <w:p>
      <w:pPr>
        <w:spacing w:after="40" w:line="240" w:lineRule="auto"/>
      </w:pPr>
      <w:r>
        <w:rPr>
          <w:rFonts w:ascii="Georgia" w:hAnsi="Georgia" w:cs="Georgia"/>
          <w:b w:val="0"/>
          <w:i w:val="0"/>
          <w:color w:val="000000"/>
          <w:sz w:val="4"/>
        </w:rPr>
        <w:t xml:space="preserve"> </w:t>
      </w:r>
    </w:p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I · CHECKLIST DE AUDITORÍA (30 PUNTOS)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