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Arial" w:hAnsi="Arial" w:cs="Arial"/>
          <w:b/>
          <w:i w:val="0"/>
          <w:color w:val="000000"/>
          <w:sz w:val="22"/>
        </w:rPr>
        <w:t>ANEXO K</w:t>
      </w:r>
    </w:p>
    <w:p>
      <w:pPr>
        <w:spacing w:after="320"/>
        <w:keepNext/>
        <w:pBdr>
          <w:bottom w:val="single" w:sz="8" w:space="4" w:color="000000"/>
        </w:pBdr>
      </w:pPr>
      <w:r>
        <w:rPr>
          <w:rFonts w:ascii="Arial" w:hAnsi="Arial" w:cs="Arial"/>
          <w:b/>
          <w:i w:val="0"/>
          <w:color w:val="000000"/>
          <w:sz w:val="33"/>
        </w:rPr>
        <w:t>GUÍA DEL FORMADOR: DINÁMICAS FORMATIVAS POR BLOQUE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Cómo convertir este libro en un curso interno de empresa. Cinco dinámicas, una por bloque, listas para facilitar con una sala, un proyector y los capítulos como material. Pensadas para sesiones de 90 minutos con grupos de 8 a 20 personas. La versión ampliada con diapositivas y casos adicionales se desarrolla como material B2B de la FASE 4.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K.0. Reglas del formador (léelas antes que cualquier dinámica)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/>
          <w:i w:val="0"/>
          <w:color w:val="000000"/>
          <w:sz w:val="21"/>
        </w:rPr>
        <w:t>Seguridad psicológica primero.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Nadie está obligado a contar su caso. Los ejemplos son ficticios o anonimizados. Si alguien comparte una situación real, se le ofrece la vía interna al terminar, en privado.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/>
          <w:i w:val="0"/>
          <w:color w:val="000000"/>
          <w:sz w:val="21"/>
        </w:rPr>
        <w:t>Confidencialidad explícita.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Lo dicho en la sala se queda en la sala; se anuncia al inicio y se firma si la empresa lo exige.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/>
          <w:i w:val="0"/>
          <w:color w:val="000000"/>
          <w:sz w:val="21"/>
        </w:rPr>
        <w:t>No conviertas la formación en un juicio.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El objetivo es reconocer patrones y practicar habilidades, no decidir culpabilidades. Si una dinámica destapa un caso real, se deriva a la vía del capítulo 12: nunca se instruye en público.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/>
          <w:i w:val="0"/>
          <w:color w:val="000000"/>
          <w:sz w:val="21"/>
        </w:rPr>
        <w:t>El formador conoce el libro.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Los capítulos son el material de referencia; las dinámicas son la práctica. Manda leer el capítulo correspondiente antes de cada sesión.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K.1. Bloque I — "La frontera en 20 minutos" (delimitación jurídica)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Objetivo.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Distinguir en la práctica acoso, conflicto, estrés y poder de dirección legítimo.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Duración.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60-75 minutos. </w:t>
      </w:r>
      <w:r>
        <w:rPr>
          <w:rFonts w:ascii="Georgia" w:hAnsi="Georgia" w:cs="Georgia"/>
          <w:b/>
          <w:i w:val="0"/>
          <w:color w:val="000000"/>
          <w:sz w:val="21"/>
        </w:rPr>
        <w:t>Material.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Capítulo 1; tabla de 12 conductas frontera; tarjetas con 8 casos breves.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Desarrollo.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 w:val="0"/>
          <w:i w:val="0"/>
          <w:color w:val="000000"/>
          <w:sz w:val="21"/>
        </w:rPr>
        <w:t>Exposición de los tres mimbres (10 min): sistematicidad, intencionalidad, resultado hostil.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 w:val="0"/>
          <w:i w:val="0"/>
          <w:color w:val="000000"/>
          <w:sz w:val="21"/>
        </w:rPr>
        <w:t>Trabajo en grupos de 4-5 (20 min): cada grupo recibe 4 tarjetas-caso y clasifica: ¿acoso, conflicto, exigencia legítima o zona gris? Deben justificar con los mimbres, no con intuición.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 w:val="0"/>
          <w:i w:val="0"/>
          <w:color w:val="000000"/>
          <w:sz w:val="21"/>
        </w:rPr>
        <w:t>Puesta en común (20 min): cada grupo defiende una clasificación; el formador marca las trampas: el episodio único, la broma "de siempre", el cambio de funciones documentado.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 w:val="0"/>
          <w:i w:val="0"/>
          <w:color w:val="000000"/>
          <w:sz w:val="21"/>
        </w:rPr>
        <w:t>Cierre (10 min): árbol de decisión del capítulo 1 proyectado; mensaje clave: "en la duda, protocolo".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K.2. Bloque II — "Audita tu protocolo" (compliance)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Objetivo.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Que los mandos conozcan el protocolo real de su empresa y detecten sus puntos débiles.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Duración.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90 minutos. </w:t>
      </w:r>
      <w:r>
        <w:rPr>
          <w:rFonts w:ascii="Georgia" w:hAnsi="Georgia" w:cs="Georgia"/>
          <w:b/>
          <w:i w:val="0"/>
          <w:color w:val="000000"/>
          <w:sz w:val="21"/>
        </w:rPr>
        <w:t>Material.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Capítulos 4-6; Anexo I; copia del protocolo de la propia empresa.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Desarrollo.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 w:val="0"/>
          <w:i w:val="0"/>
          <w:color w:val="000000"/>
          <w:sz w:val="21"/>
        </w:rPr>
        <w:t>Lectura guiada del protocolo propio (20 min): cada participante subraya lo que no sabía que existía.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 w:val="0"/>
          <w:i w:val="0"/>
          <w:color w:val="000000"/>
          <w:sz w:val="21"/>
        </w:rPr>
        <w:t>Taller de auditoría (30 min): en grupos, aplican el Anexo I al protocolo y al sistema real, marcando ✓ y ✗ con ejemplos concretos.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 w:val="0"/>
          <w:i w:val="0"/>
          <w:color w:val="000000"/>
          <w:sz w:val="21"/>
        </w:rPr>
        <w:t>Puesta en común (25 min): se recogen los ✗ en un panel; el formador separa los "fallos de papel" de los "fallos de uso".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 w:val="0"/>
          <w:i w:val="0"/>
          <w:color w:val="000000"/>
          <w:sz w:val="21"/>
        </w:rPr>
        <w:t>Compromisos (15 min): cada mando anota una acción correctora con fecha. Las acciones se remiten a dirección, no se quedan en la sala.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K.3. Bloque III — "La conversación que no tuviste" (detección y comunicación)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Objetivo.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Practicar la conversación difícil con el guion DESC y la entrevista de detección.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Duración.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90 minutos. </w:t>
      </w:r>
      <w:r>
        <w:rPr>
          <w:rFonts w:ascii="Georgia" w:hAnsi="Georgia" w:cs="Georgia"/>
          <w:b/>
          <w:i w:val="0"/>
          <w:color w:val="000000"/>
          <w:sz w:val="21"/>
        </w:rPr>
        <w:t>Material.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Capítulos 7 y 9; Anexo E; roleplays preparados.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Desarrollo.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 w:val="0"/>
          <w:i w:val="0"/>
          <w:color w:val="000000"/>
          <w:sz w:val="21"/>
        </w:rPr>
        <w:t>Modelado (15 min): el formador escenifica con un voluntario una conversación DESC completa y otra mal hecha (juicios, sarcasmo, evasión). El contraste es la lección.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 w:val="0"/>
          <w:i w:val="0"/>
          <w:color w:val="000000"/>
          <w:sz w:val="21"/>
        </w:rPr>
        <w:t>Roleplay en tríos (35 min): A es el mando, B el colaborador con un cambio de actitud, C observa con el guion. Se rotan los papeles. Dos escenarios: roces por reparto de tareas; absentismo repetido de una persona del equipo.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 w:val="0"/>
          <w:i w:val="0"/>
          <w:color w:val="000000"/>
          <w:sz w:val="21"/>
        </w:rPr>
        <w:t>Debrief (25 min): los observadores leen lo que funcionó; se corrigen los juicios disfrazados de hechos.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 w:val="0"/>
          <w:i w:val="0"/>
          <w:color w:val="000000"/>
          <w:sz w:val="21"/>
        </w:rPr>
        <w:t>Cierre (15 min): la regla de la derivación —cuándo la conversación no basta y toca protocolo— y la escalera de intervención del capítulo 9.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K.4. Bloque IV — "El juicio simulado" (estrategia probatoria)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Objetivo.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Entender la inversión de la carga de la prueba viviéndola.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Duración.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90 minutos. </w:t>
      </w:r>
      <w:r>
        <w:rPr>
          <w:rFonts w:ascii="Georgia" w:hAnsi="Georgia" w:cs="Georgia"/>
          <w:b/>
          <w:i w:val="0"/>
          <w:color w:val="000000"/>
          <w:sz w:val="21"/>
        </w:rPr>
        <w:t>Material.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Capítulos 10-12; un caso escrito de dos páginas con correos, diario y partes; roles asignados.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Desarrollo.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 w:val="0"/>
          <w:i w:val="0"/>
          <w:color w:val="000000"/>
          <w:sz w:val="21"/>
        </w:rPr>
        <w:t>Preparación (20 min): dos equipos —demandante y empresa— preparan sus alegaciones y su prueba a partir del caso escrito.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 w:val="0"/>
          <w:i w:val="0"/>
          <w:color w:val="000000"/>
          <w:sz w:val="21"/>
        </w:rPr>
        <w:t>Vista oral (30 min): cada equipo expone 10 minutos; un "juez" (el formador o un directivo) pregunta; se vota la resolución por el resto del grupo.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 w:val="0"/>
          <w:i w:val="0"/>
          <w:color w:val="000000"/>
          <w:sz w:val="21"/>
        </w:rPr>
        <w:t>Deliberación (20 min): se comparan los votos con la doctrina del capítulo 11; el formador revela qué habría decidido un juzgado y por qué —el caso está diseñado para ganarlo la parte que documentó—.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 w:val="0"/>
          <w:i w:val="0"/>
          <w:color w:val="000000"/>
          <w:sz w:val="21"/>
        </w:rPr>
        <w:t>Cierre (20 min): inventario de lo que faltó: papel, testigos, plazos. Mensaje clave: "el papel decide".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K.5. Bloque V — "Monta tu kit" (herramientas)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Objetivo.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Personalizar las plantillas del repositorio para la realidad de la empresa.</w:t>
      </w:r>
    </w:p>
    <w:p>
      <w:r>
        <w:rPr>
          <w:rFonts w:ascii="Georgia" w:hAnsi="Georgia" w:cs="Georgia"/>
          <w:b/>
          <w:i w:val="0"/>
          <w:color w:val="000000"/>
          <w:sz w:val="21"/>
        </w:rPr>
        <w:t>Duración.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90 minutos. </w:t>
      </w:r>
      <w:r>
        <w:rPr>
          <w:rFonts w:ascii="Georgia" w:hAnsi="Georgia" w:cs="Georgia"/>
          <w:b/>
          <w:i w:val="0"/>
          <w:color w:val="000000"/>
          <w:sz w:val="21"/>
        </w:rPr>
        <w:t>Material.</w:t>
      </w:r>
      <w:r>
        <w:rPr>
          <w:rFonts w:ascii="Georgia" w:hAnsi="Georgia" w:cs="Georgia"/>
          <w:b w:val="0"/>
          <w:i w:val="0"/>
          <w:color w:val="000000"/>
          <w:sz w:val="21"/>
        </w:rPr>
        <w:t xml:space="preserve"> Anexos A-H; ordenadores; las plantillas Word del repositorio.</w:t>
      </w:r>
    </w:p>
    <w:p>
      <w:r>
        <w:rPr>
          <w:rFonts w:ascii="Georgia" w:hAnsi="Georgia" w:cs="Georgia"/>
          <w:b w:val="0"/>
          <w:i/>
          <w:color w:val="000000"/>
          <w:sz w:val="21"/>
        </w:rPr>
        <w:t>Desarrollo.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1. </w:t>
      </w:r>
      <w:r>
        <w:rPr>
          <w:rFonts w:ascii="Georgia" w:hAnsi="Georgia" w:cs="Georgia"/>
          <w:b w:val="0"/>
          <w:i w:val="0"/>
          <w:color w:val="000000"/>
          <w:sz w:val="21"/>
        </w:rPr>
        <w:t>Asignación (10 min): cada grupo toma una plantilla —protocolo, denuncia interna, diario, guion de mediación— y un supuesto de empresa (PYME industrial, gran empresa de servicios…).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2. </w:t>
      </w:r>
      <w:r>
        <w:rPr>
          <w:rFonts w:ascii="Georgia" w:hAnsi="Georgia" w:cs="Georgia"/>
          <w:b w:val="0"/>
          <w:i w:val="0"/>
          <w:color w:val="000000"/>
          <w:sz w:val="21"/>
        </w:rPr>
        <w:t>Adaptación (40 min): rellenan los corchetes para el supuesto, detectando qué les falta (¿quién forma la comisión? ¿cuál es el convenio?).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3. </w:t>
      </w:r>
      <w:r>
        <w:rPr>
          <w:rFonts w:ascii="Georgia" w:hAnsi="Georgia" w:cs="Georgia"/>
          <w:b w:val="0"/>
          <w:i w:val="0"/>
          <w:color w:val="000000"/>
          <w:sz w:val="21"/>
        </w:rPr>
        <w:t>Exposición (30 min): cada grupo presenta su plantilla adaptada y los puntos que la empresa real aún no tiene resueltos.</w:t>
      </w:r>
    </w:p>
    <w:p>
      <w:pPr>
        <w:spacing w:after="80"/>
        <w:ind w:left="360"/>
      </w:pPr>
      <w:r>
        <w:rPr>
          <w:rFonts w:ascii="Arial" w:hAnsi="Arial" w:cs="Arial"/>
          <w:b/>
          <w:i w:val="0"/>
          <w:color w:val="000000"/>
          <w:sz w:val="21"/>
        </w:rPr>
        <w:t xml:space="preserve">4. </w:t>
      </w:r>
      <w:r>
        <w:rPr>
          <w:rFonts w:ascii="Georgia" w:hAnsi="Georgia" w:cs="Georgia"/>
          <w:b w:val="0"/>
          <w:i w:val="0"/>
          <w:color w:val="000000"/>
          <w:sz w:val="21"/>
        </w:rPr>
        <w:t>Cierre (10 min): el listado de "pendientes" se convierte en el plan de implantación de la empresa. La formación termina con trabajo útil, no con aplausos.</w:t>
      </w:r>
    </w:p>
    <w:p>
      <w:pPr>
        <w:spacing w:before="240" w:after="120"/>
        <w:keepNext/>
      </w:pPr>
      <w:r>
        <w:rPr>
          <w:rFonts w:ascii="Arial" w:hAnsi="Arial" w:cs="Arial"/>
          <w:b/>
          <w:i w:val="0"/>
          <w:color w:val="000000"/>
          <w:sz w:val="24"/>
        </w:rPr>
        <w:t>K.6. Evaluación y registro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Encuesta de salida de tres preguntas: "¿Qué te llevas?", "¿Qué te falta?", "¿Qué mejorarías de la sesión?".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Registro de asistencia firmado: es la prueba documental de la formación (obligatoria para la defensa del sistema).</w:t>
      </w:r>
    </w:p>
    <w:p>
      <w:r>
        <w:rPr>
          <w:rFonts w:ascii="Georgia" w:hAnsi="Georgia" w:cs="Georgia"/>
          <w:b w:val="0"/>
          <w:i w:val="0"/>
          <w:color w:val="000000"/>
          <w:sz w:val="21"/>
        </w:rPr>
        <w:t>- Acta de cierre con las acciones comprometidas: se archiva con la documentación del sistema de cumplimiento.</w:t>
      </w:r>
    </w:p>
    <w:sectPr w:rsidR="00FC693F" w:rsidRPr="0006063C" w:rsidSect="00034616">
      <w:headerReference w:type="first" r:id="rId9"/>
      <w:headerReference w:type="default" r:id="rId10"/>
      <w:headerReference w:type="even" r:id="rId11"/>
      <w:pgSz w:w="8640" w:h="12960"/>
      <w:pgMar w:top="1224" w:right="936" w:bottom="1080" w:left="1368" w:header="648" w:footer="576" w:gutter="0"/>
      <w:cols w:space="720"/>
      <w:titlePg/>
      <w:docGrid w:linePitch="360"/>
      <w:mirrorMargins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  <w:r>
      <w:tab/>
    </w:r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6336" w:val="right"/>
      </w:tabs>
      <w:spacing w:after="0"/>
      <w:pBdr>
        <w:bottom w:val="single" w:sz="4" w:space="4" w:color="BFBFBF"/>
      </w:pBdr>
    </w:pPr>
    <w:r/>
    <w:r>
      <w:rPr>
        <w:rFonts w:ascii="Arial" w:hAnsi="Arial" w:cs="Arial"/>
        <w:b w:val="0"/>
        <w:i w:val="0"/>
        <w:color w:val="595959"/>
        <w:sz w:val="15"/>
      </w:rPr>
      <w:t>ACOSO LABORAL EN LA EMPRESA PRIVADA</w:t>
    </w:r>
    <w:r>
      <w:tab/>
    </w:r>
    <w:r>
      <w:rPr>
        <w:rFonts w:ascii="Arial" w:hAnsi="Arial" w:cs="Arial"/>
        <w:b w:val="0"/>
        <w:i w:val="0"/>
        <w:color w:val="595959"/>
        <w:sz w:val="15"/>
      </w:rPr>
      <w:fldChar w:fldCharType="begin"/>
    </w:r>
    <w:r>
      <w:rPr>
        <w:rFonts w:ascii="Arial" w:hAnsi="Arial" w:cs="Arial"/>
        <w:b w:val="0"/>
        <w:i w:val="0"/>
        <w:color w:val="595959"/>
        <w:sz w:val="15"/>
      </w:rPr>
      <w:instrText xml:space="preserve">PAGE</w:instrText>
    </w:r>
    <w:r>
      <w:rPr>
        <w:rFonts w:ascii="Arial" w:hAnsi="Arial" w:cs="Arial"/>
        <w:b w:val="0"/>
        <w:i w:val="0"/>
        <w:color w:val="595959"/>
        <w:sz w:val="15"/>
      </w:rPr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evenAndOddHeaders/>
  <w:autoHyphenation w:val="true"/>
  <w:hyphenationZone w:val="6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8" w:lineRule="auto"/>
      <w:jc w:val="both"/>
    </w:pPr>
    <w:rPr>
      <w:rFonts w:ascii="Georgia" w:hAnsi="Georgia"/>
      <w:sz w:val="21"/>
      <w:lang w:val="es-E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Guía Definitiva contra el Acoso Laboral en la Empresa Privada — ANEXO K · GUÍA DEL FORMADOR</dc:title>
  <dc:subject>Acoso laboral en la empresa privada</dc:subject>
  <dc:creator>E. J. López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language>es-ES</dc:language>
</cp:coreProperties>
</file>