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/>
          <w:b/>
          <w:i w:val="0"/>
          <w:color w:val="000000"/>
          <w:sz w:val="22"/>
        </w:rPr>
        <w:t>ANEXO M</w:t>
      </w:r>
    </w:p>
    <w:p>
      <w:pPr>
        <w:spacing w:after="320"/>
        <w:keepNext/>
        <w:pBdr>
          <w:bottom w:val="single" w:sz="8" w:space="4" w:color="000000"/>
        </w:pBdr>
      </w:pPr>
      <w:r>
        <w:rPr>
          <w:rFonts w:ascii="Arial" w:hAnsi="Arial" w:cs="Arial"/>
          <w:b/>
          <w:i w:val="0"/>
          <w:color w:val="000000"/>
          <w:sz w:val="33"/>
        </w:rPr>
        <w:t>JURISPRUDENCIA Y DOCTRINA DE REFERENCIA COMENTADA (10 ENTRADAS)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Diez anclas doctrinales para leer, citar y argumentar. Cada entrada indica el tema, de dónde viene la doctrina y qué significa en la práctica para una empresa privada. Las referencias normativas y los criterios técnicos son verificables; las citas de sentencias concretas con número de recurso se incorporan en la revisión jurídica final.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1. La dignidad como límite del poder de dirección (arts. 10.1 y 15 CE; 4.2.e ET).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La doctrina constitucional y social es unánime: el poder de dirección del artículo 20 ET se ejerce sobre la prestación de trabajo, no sobre la persona. En la práctica: toda orden legítima en su objeto puede ser ilegítima en su forma si humilla, veja o degrada. El juez no revisa la oportunidad de la orden; revisa si se ejecutó contra la dignidad.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2. Los tres mimbres del acoso laboral (doctrina de la Sala de lo Social del TS).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Sistematicidad, intencionalidad lesiva y resultado hostil. La jurisprudencia unificada exige el conjunto; el episodio aislado se queda en conflicto. Aplicación práctica: la demanda que mezcla años de roces sin pauta pierde; la que documenta una pauta de tres meses gana.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3. "No constituye acoso moral el mero ejercicio abusivo o arbitrario de facultades empresariales" (doctrina reiterada del TS).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El abuso del poder de dirección tiene su propio remedio (impugnación de sanciones, modificaciones, despidos), pero no equivale por sí solo a acoso. Aplicación práctica: la empresa que defiende "yo mandaba" no responde a la pregunta correcta; la pregunta es si además humillaba, con reiteración y sin justificación.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4. Inversión de la carga de la prueba (art. 181.2 LRJS; doctrina constitucional de indicios).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Ante indicios de vulneración de derechos fundamentales, la empresa debe aportar justificación objetiva, razonable y proporcionada. Aplicación práctica: la documentación previa de cada decisión empresarial es la única defensa real; la justificación oral improvisada en el juicio no levanta la carga.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5. Grabaciones propias y secreto de las comunicaciones (STC 114/1984 y doctrina posterior).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Quien graba una conversación en la que participa no vulnera el secreto de las comunicaciones; otra cosa es la captación de conversaciones ajenas o la edición interesada. Aplicación práctica: el audio íntegro, con metadatos y transcripción, es prueba sólida; el recorte es un regalo para la impugnación.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6. Prueba ilícita y exclusión (art. 90.2 LRJS; art. 11.1 LOPJ).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No surten efecto las pruebas obtenidas violentando derechos fundamentales, ni las derivadas de ellas. Aplicación práctica: la empresa que espía cuentas privadas pierde la prueba y gana una demanda; la defensa que impugna todo sin fundamento pierde credibilidad ante el juez.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7. Criterio Técnico 69/2009 de la ITSS (acoso y violencia en el trabajo).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Fija el marco inspector del acoso: definiciones operativas, conductas típicas, criterios de actuación de la Inspección. Aplicación práctica: es el guion que el inspector lleva en la cabeza cuando pide el protocolo, la evaluación psicosocial y la investigación interna. Estudiarlo es anticiparse.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8. Criterio Técnico 104/2021 de la ITSS (riesgos psicosociales).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Actualiza la actuación inspectora en psicosociales: evaluación específica, medidas derivadas, vigilancia de la salud, investigación de las denuncias de acoso. Aplicación práctica: la evaluación "de pega" sin medidas se detecta en una visita; la coherencia evaluación-medidas-seguimiento es lo que se comprueba.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9. Convenio 190 de la OIT (violencia y acoso en el trabajo).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Estándar internacional ratificado por España: prevención integral, dimensión de género, participación de los trabajadores. Aplicación práctica: el protocolo que ignora la dimensión de género o el personal externo queda por debajo del estándar de diligencia exigible a una empresa de 2026.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10. Cuantificación del daño moral (doctrina del TS; referencia orientativa a las sanciones LISOS).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Sin tablas legales, el daño moral se valora con criterios prudenciales —gravedad, duración, secuelas, contexto— y la jurisprudencia admite como referencia las cuantías sancionadoras de la LISOS. Aplicación práctica: la cifra se pide argumentada, con referencia a la doctrina y a las circunstancias del caso; pedir sin argumento resta credibilidad, pedir de menos regala dinero.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pgSz w:w="8640" w:h="12960"/>
      <w:pgMar w:top="1224" w:right="936" w:bottom="1080" w:left="1368" w:header="648" w:footer="576" w:gutter="0"/>
      <w:cols w:space="720"/>
      <w:titlePg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  <w:r>
      <w:tab/>
    </w:r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  <w:r>
      <w:tab/>
    </w:r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autoHyphenation w:val="true"/>
  <w:hyphenationZone w:val="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Georgia" w:hAnsi="Georgia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Definitiva contra el Acoso Laboral en la Empresa Privada — ANEXO M · JURISPRUDENCIA Y DOCTRINA COMENTADA</dc:title>
  <dc:subject>Acoso laboral en la empresa privada</dc:subject>
  <dc:creator>E. J. López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