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cs="Calibri"/>
          <w:b/>
          <w:i w:val="0"/>
          <w:color w:val="000000"/>
          <w:sz w:val="28"/>
        </w:rPr>
        <w:t>ANEXO B</w:t>
      </w:r>
    </w:p>
    <w:p>
      <w:pPr>
        <w:spacing w:after="200"/>
      </w:pPr>
      <w:r>
        <w:rPr>
          <w:rFonts w:ascii="Calibri" w:hAnsi="Calibri" w:cs="Calibri"/>
          <w:b/>
          <w:i w:val="0"/>
          <w:color w:val="000000"/>
          <w:sz w:val="28"/>
        </w:rPr>
        <w:t>PLANTILLA DE PROTOCOLO — GRAN EMPRESA / GRUPO (GUÍA DE ADAPTACIÓN)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El Anexo A contiene el texto completo válido para cualquier empresa. Este anexo detalla las adaptaciones necesarias para organizaciones grandes, grupos de empresas y estructuras con varios centros. No sustituye al Anexo A: lo completa. La versión Word editable de ambas plantillas se descarga desde el QR.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B.1. Lo que cambia en una gran empresa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Comisiones por centro o ámbito.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La comisión única es inviable con varios centros y turnos. La estructura recomendada: una comisión de ámbito estatal o de grupo que garantice la coherencia, y comisiones delegadas por centro o división, con al menos tres miembros cada una y suplentes. Regla de oro: la comisión delegada no puede instruir casos en los que esté implicado su propio responsable de centro —esos casos suben al ámbito superior.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Coordinación obligatoria con otros sistemas.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En la gran empresa el protocolo convive con: el plan de igualdad (que contiene su propio protocolo de acoso sexual y por razón de sexo), el canal interno de la Ley 2/2023, el servicio de prevención (propio o ajeno) y, cada vez más, la política de compliance del grupo. El protocolo debe contener un artículo expreso de coordinación: qué instrumento prevalece, quién deriva a quién y en qué plazos. La ausencia de ese artículo es la causa del 80% de los conflictos internos de competencia que luego se exhiben en los juicios.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Negociación con la representación legal de los trabajadores.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En empresas con representación sindical, el protocolo del plan de igualdad se negocia; el protocolo general de acoso laboral conviene acordarlo o, al menos, consultarlo. La implantación unilateral de un protocolo que afecta a condiciones de trabajo es terreno fértil para la impugnación. La vía segura: negociación, acuerdo por escrito y difusión conjunta.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Protección de datos a escala.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Con varios centros y terceros (ETT, contratas), el flujo de datos del expediente debe mapearse: quién trata qué, con qué base, con qué acceso y con qué conservación. Un registro de actividades de tratamiento específico del protocolo, por breve que sea, ahorra problemas.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B.2. Artículos adicionales para la plantilla de gran empresa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Artículo X. Ámbito de coordinación.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Las denuncias de acoso se tramitarán por el presente protocolo. Las que entren por el canal interno de la Ley 2/2023 se derivarán a la comisión competente en 48 horas, manteniéndose todas las garantías de protección del informante. Las denuncias de acoso sexual y por razón de sexo se tramitarán por el procedimiento del plan de igualdad cuando éste prevea un cauce específico, sin perjuicio de la aplicación supletoria de este protocolo.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Artículo Y. Comisiones delegadas.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[DESCRIBIR LAS COMISIONES POR CENTRO CON SUS MIEMBROS Y SUPLENTES, Y LOS SUPUESTOS DE ELEVACIÓN AL ÁMBITO SUPERIOR: implicación de mandos del centro, complejidad, riesgo de parcialidad.]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Artículo Z. Formación y difusión.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La formación en este protocolo es obligatoria para [DIRECCIÓN, MANDOS, RRHH Y MIEMBROS DE COMISIONES] con periodicidad [ANUAL/BIENAL], y de oferta general para el resto de la plantilla, con registro de asistencia. La difusión incluye [INTRANET, ONBOARDING, TABLONES, CONTRATAS].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B.3. Checklist de adaptación gran empresa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1. </w:t>
      </w:r>
      <w:r>
        <w:rPr>
          <w:rFonts w:ascii="Calibri" w:hAnsi="Calibri" w:cs="Calibri"/>
          <w:b w:val="0"/>
          <w:i w:val="0"/>
          <w:color w:val="000000"/>
          <w:sz w:val="22"/>
        </w:rPr>
        <w:t>Comisiones designadas por nombre en cada centro, con suplentes.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2. </w:t>
      </w:r>
      <w:r>
        <w:rPr>
          <w:rFonts w:ascii="Calibri" w:hAnsi="Calibri" w:cs="Calibri"/>
          <w:b w:val="0"/>
          <w:i w:val="0"/>
          <w:color w:val="000000"/>
          <w:sz w:val="22"/>
        </w:rPr>
        <w:t>Reglas de elevación de casos al ámbito superior, por escrito.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3. </w:t>
      </w:r>
      <w:r>
        <w:rPr>
          <w:rFonts w:ascii="Calibri" w:hAnsi="Calibri" w:cs="Calibri"/>
          <w:b w:val="0"/>
          <w:i w:val="0"/>
          <w:color w:val="000000"/>
          <w:sz w:val="22"/>
        </w:rPr>
        <w:t>Artículo de coordinación con plan de igualdad, canal interno y PRL.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4. </w:t>
      </w:r>
      <w:r>
        <w:rPr>
          <w:rFonts w:ascii="Calibri" w:hAnsi="Calibri" w:cs="Calibri"/>
          <w:b w:val="0"/>
          <w:i w:val="0"/>
          <w:color w:val="000000"/>
          <w:sz w:val="22"/>
        </w:rPr>
        <w:t>Protocolo negociado o consultado con la RLT, con acta.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5. </w:t>
      </w:r>
      <w:r>
        <w:rPr>
          <w:rFonts w:ascii="Calibri" w:hAnsi="Calibri" w:cs="Calibri"/>
          <w:b w:val="0"/>
          <w:i w:val="0"/>
          <w:color w:val="000000"/>
          <w:sz w:val="22"/>
        </w:rPr>
        <w:t>Formación específica de comisiones y mandos, con registro.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6. </w:t>
      </w:r>
      <w:r>
        <w:rPr>
          <w:rFonts w:ascii="Calibri" w:hAnsi="Calibri" w:cs="Calibri"/>
          <w:b w:val="0"/>
          <w:i w:val="0"/>
          <w:color w:val="000000"/>
          <w:sz w:val="22"/>
        </w:rPr>
        <w:t>Registro de actividades de tratamiento del expediente (RGPD).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7. </w:t>
      </w:r>
      <w:r>
        <w:rPr>
          <w:rFonts w:ascii="Calibri" w:hAnsi="Calibri" w:cs="Calibri"/>
          <w:b w:val="0"/>
          <w:i w:val="0"/>
          <w:color w:val="000000"/>
          <w:sz w:val="22"/>
        </w:rPr>
        <w:t>Protocolo de grupo con adaptación expresa a cada sociedad y convenio.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8. </w:t>
      </w:r>
      <w:r>
        <w:rPr>
          <w:rFonts w:ascii="Calibri" w:hAnsi="Calibri" w:cs="Calibri"/>
          <w:b w:val="0"/>
          <w:i w:val="0"/>
          <w:color w:val="000000"/>
          <w:sz w:val="22"/>
        </w:rPr>
        <w:t>Revisión anual con participación de la RLT.</w:t>
      </w:r>
    </w:p>
    <w:sectPr w:rsidR="00FC693F" w:rsidRPr="0006063C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