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cs="Calibri"/>
          <w:b/>
          <w:i w:val="0"/>
          <w:color w:val="000000"/>
          <w:sz w:val="28"/>
        </w:rPr>
        <w:t>ANEXO I</w:t>
      </w:r>
    </w:p>
    <w:p>
      <w:pPr>
        <w:spacing w:after="200"/>
      </w:pPr>
      <w:r>
        <w:rPr>
          <w:rFonts w:ascii="Calibri" w:hAnsi="Calibri" w:cs="Calibri"/>
          <w:b/>
          <w:i w:val="0"/>
          <w:color w:val="000000"/>
          <w:sz w:val="28"/>
        </w:rPr>
        <w:t>CHECKLIST DE AUDITORÍA DE CUMPLIMIENTO (30 PUNTOS, FORMATO OPERATIVO)</w:t>
      </w:r>
    </w:p>
    <w:p>
      <w:r>
        <w:rPr>
          <w:rFonts w:ascii="Calibri" w:hAnsi="Calibri" w:cs="Calibri"/>
          <w:b w:val="0"/>
          <w:i w:val="0"/>
          <w:color w:val="000000"/>
          <w:sz w:val="22"/>
        </w:rPr>
        <w:t>Versión operativa del checklist del capítulo 6, lista para usar en la auditoría anual. Marca ✓ (cumple), ✗ (no cumple) o — (no aplica, justificar), y asigna responsable y fecha de corrección por cada ✗. Imprímela, complétala en la reunión de dirección y archívala con acta. La versión Word editable se descarga desde el QR.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val="clear" w:fill="D9D9D9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000000"/>
                <w:sz w:val="20"/>
              </w:rPr>
              <w:t>N.º</w:t>
            </w:r>
          </w:p>
        </w:tc>
        <w:tc>
          <w:tcPr>
            <w:tcW w:type="dxa" w:w="2257"/>
            <w:shd w:val="clear" w:fill="D9D9D9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000000"/>
                <w:sz w:val="20"/>
              </w:rPr>
              <w:t>Ítem de verificación</w:t>
            </w:r>
          </w:p>
        </w:tc>
        <w:tc>
          <w:tcPr>
            <w:tcW w:type="dxa" w:w="2257"/>
            <w:shd w:val="clear" w:fill="D9D9D9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000000"/>
                <w:sz w:val="20"/>
              </w:rPr>
              <w:t>Estado</w:t>
            </w:r>
          </w:p>
        </w:tc>
        <w:tc>
          <w:tcPr>
            <w:tcW w:type="dxa" w:w="2257"/>
            <w:shd w:val="clear" w:fill="D9D9D9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000000"/>
                <w:sz w:val="20"/>
              </w:rPr>
              <w:t>Responsable / fecha de corrección</w:t>
            </w: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Protocolo de acoso laboral, sexual y por razón de sexo, vigente y adaptado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Protocolo firmado, fechado y personalizado (no fotocopia sin adaptar)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Conductas definidas con ejemplos concretos y remisión al convenio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Comisión instructora designada por nombre y cargo, con suplentes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Formación específica de la comisión, documentada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Análisis de imparcialidad y reglas de abstención por escrito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Canal interno Ley 2/2023 implantado (si plantilla ≥ 50)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Responsable del sistema designado formalmente y notificado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Protocolo y canal conectados (derivación documentada)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Plan de igualdad con protocolo de acoso sexual (si plantilla ≥ 50)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Evaluación de riesgos psicosociales actualizada (menos de 3 años)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Medidas preventivas derivadas de la evaluación, con responsables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Vigilancia de la salud orientada a riesgos psicosociales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Formación en acoso a la plantilla en los últimos 2 años, con registro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Formación específica de mandos en detección y gestión de conflictos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Procedimiento de gestión de conflictos diferenciado del protocolo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Comunicación interna de la política de tolerancia cero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Personal externo (ETT, contratas, becarios) cubierto por el protocolo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Registro de denuncias recibidas con acuse de recibo en plazo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Expedientes tramitados con plazos, audiencias y confidencialidad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Medidas cautelares adoptadas y documentadas cuando procedía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Conclusiones comunicadas a ambas partes por escrito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Sanciones impuestas conforme al régimen disciplinario del convenio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Seguimiento de víctimas y denunciados tras el cierre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Sin constancia de represalias contra denunciantes de buena fe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Libro-registro del canal conservado con la confidencialidad exigida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Revisión anual del sistema por la dirección, con acta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Protocolo revisado tras el último expediente y tras cambios normativos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Póliza de RC que no excluya daños por riesgos psicosociales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  <w:tr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Auditoría externa del sistema en los últimos 2 años</w:t>
            </w: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  <w:tc>
          <w:tcPr>
            <w:tcW w:type="dxa" w:w="2257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rPr>
          <w:rFonts w:ascii="Calibri" w:hAnsi="Calibri" w:cs="Calibri"/>
          <w:b/>
          <w:i w:val="0"/>
          <w:color w:val="000000"/>
          <w:sz w:val="22"/>
        </w:rPr>
        <w:t>Criterio de evaluación:</w:t>
      </w:r>
      <w:r>
        <w:rPr>
          <w:rFonts w:ascii="Calibri" w:hAnsi="Calibri" w:cs="Calibri"/>
          <w:b w:val="0"/>
          <w:i w:val="0"/>
          <w:color w:val="000000"/>
          <w:sz w:val="22"/>
        </w:rPr>
        <w:t xml:space="preserve"> menos de 25 ✓ → plan de corrección urgente en 30 días. De 25 a 28 ✓ → plan de mejora en 90 días. 29-30 ✓ → sistema vivo; mantener la revisión anual y registrar el acta.</w:t>
      </w:r>
    </w:p>
    <w:sectPr w:rsidR="00FC693F" w:rsidRPr="0006063C" w:rsidSect="00034616">
      <w:pgSz w:w="11909" w:h="16834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