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cs="Calibri"/>
          <w:b/>
          <w:i w:val="0"/>
          <w:color w:val="000000"/>
          <w:sz w:val="28"/>
        </w:rPr>
        <w:t>ANEXO G</w:t>
      </w:r>
    </w:p>
    <w:p>
      <w:pPr>
        <w:spacing w:after="200"/>
      </w:pPr>
      <w:r>
        <w:rPr>
          <w:rFonts w:ascii="Calibri" w:hAnsi="Calibri" w:cs="Calibri"/>
          <w:b/>
          <w:i w:val="0"/>
          <w:color w:val="000000"/>
          <w:sz w:val="28"/>
        </w:rPr>
        <w:t>ESQUEMA PROCESAL DE PLAZOS (VÍA LABORAL, PENAL Y ADMINISTRATIVA)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El mapa de tiempos ayuda a evitar caducidades. El cómputo y la naturaleza de cada plazo dependen de la acción y de la norma aplicable: algunos son de caducidad, otros de prescripción, y las reglas de suspensión o interrupción no son idénticas. Si existe duda, consulta de inmediato el régimen específico y no des por supuesto que el plazo más largo sea aplicable. Para el despido rige, en general, un plazo de 20 días hábiles con reglas propias de suspensión.</w:t>
      </w:r>
    </w:p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G.1. La cuenta atrás del despido: 20 días hábiles</w:t>
      </w:r>
    </w:p>
    <w:tbl>
      <w:tblPr>
        <w:tblW w:type="auto" w:w="0"/>
        <w:tblLook w:firstColumn="1" w:firstRow="1" w:lastColumn="0" w:lastRow="0" w:noHBand="0" w:noVBand="1" w:val="04A0"/>
        <w:jc w:val="center"/>
        <w:tblInd w:w="0" w:type="dxa"/>
        <w:tblLayout w:type="fixed"/>
      </w:tblPr>
      <w:tblGrid>
        <w:gridCol w:w="2679"/>
        <w:gridCol w:w="2495"/>
        <w:gridCol w:w="3853"/>
      </w:tblGrid>
      <w:tr>
        <w:trPr>
          <w:tblHeader/>
        </w:trPr>
        <w:tc>
          <w:tcPr>
            <w:tcW w:type="dxa" w:w="2679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Paso</w:t>
            </w:r>
          </w:p>
        </w:tc>
        <w:tc>
          <w:tcPr>
            <w:tcW w:type="dxa" w:w="2495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Plazo</w:t>
            </w:r>
          </w:p>
        </w:tc>
        <w:tc>
          <w:tcPr>
            <w:tcW w:type="dxa" w:w="3853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67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Entrega de la carta de despido</w:t>
            </w:r>
          </w:p>
        </w:tc>
        <w:tc>
          <w:tcPr>
            <w:tcW w:type="dxa" w:w="249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Día 0</w:t>
            </w:r>
          </w:p>
        </w:tc>
        <w:tc>
          <w:tcPr>
            <w:tcW w:type="dxa" w:w="3853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El plazo corre desde el día siguiente</w:t>
            </w:r>
          </w:p>
        </w:tc>
      </w:tr>
      <w:tr>
        <w:tc>
          <w:tcPr>
            <w:tcW w:type="dxa" w:w="267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Papeleta de conciliación ante el SMAC/órgano equivalente</w:t>
            </w:r>
          </w:p>
        </w:tc>
        <w:tc>
          <w:tcPr>
            <w:tcW w:type="dxa" w:w="249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Dentro de los 20 días hábiles</w:t>
            </w:r>
          </w:p>
        </w:tc>
        <w:tc>
          <w:tcPr>
            <w:tcW w:type="dxa" w:w="3853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 xml:space="preserve">Su presentación </w:t>
            </w:r>
            <w:r>
              <w:rPr>
                <w:rFonts w:ascii="Calibri" w:hAnsi="Calibri" w:cs="Calibri"/>
                <w:b/>
                <w:i w:val="0"/>
                <w:color w:val="000000"/>
                <w:sz w:val="20"/>
              </w:rPr>
              <w:t>suspende la caducidad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 xml:space="preserve"> desde esa fecha (art. 65 LRJS)</w:t>
            </w:r>
          </w:p>
        </w:tc>
      </w:tr>
      <w:tr>
        <w:tc>
          <w:tcPr>
            <w:tcW w:type="dxa" w:w="267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Intento de conciliación o mediación</w:t>
            </w:r>
          </w:p>
        </w:tc>
        <w:tc>
          <w:tcPr>
            <w:tcW w:type="dxa" w:w="249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Se cita tras la papeleta</w:t>
            </w:r>
          </w:p>
        </w:tc>
        <w:tc>
          <w:tcPr>
            <w:tcW w:type="dxa" w:w="3853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 xml:space="preserve">El cómputo se </w:t>
            </w:r>
            <w:r>
              <w:rPr>
                <w:rFonts w:ascii="Calibri" w:hAnsi="Calibri" w:cs="Calibri"/>
                <w:b/>
                <w:i w:val="0"/>
                <w:color w:val="000000"/>
                <w:sz w:val="20"/>
              </w:rPr>
              <w:t>reanuda al día siguiente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 xml:space="preserve"> del intento o, si no se celebra, al transcurrir </w:t>
            </w:r>
            <w:r>
              <w:rPr>
                <w:rFonts w:ascii="Calibri" w:hAnsi="Calibri" w:cs="Calibri"/>
                <w:b/>
                <w:i w:val="0"/>
                <w:color w:val="000000"/>
                <w:sz w:val="20"/>
              </w:rPr>
              <w:t>15 días hábiles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 xml:space="preserve"> desde la presentación</w:t>
            </w:r>
          </w:p>
        </w:tc>
      </w:tr>
      <w:tr>
        <w:tc>
          <w:tcPr>
            <w:tcW w:type="dxa" w:w="267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Si el acto no se celebra</w:t>
            </w:r>
          </w:p>
        </w:tc>
        <w:tc>
          <w:tcPr>
            <w:tcW w:type="dxa" w:w="249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15 días hábiles desde la presentación</w:t>
            </w:r>
          </w:p>
        </w:tc>
        <w:tc>
          <w:tcPr>
            <w:tcW w:type="dxa" w:w="3853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Se tiene por intentado sin efecto y se reanuda el cómputo del plazo</w:t>
            </w:r>
          </w:p>
        </w:tc>
      </w:tr>
      <w:tr>
        <w:tc>
          <w:tcPr>
            <w:tcW w:type="dxa" w:w="2679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Demanda</w:t>
            </w:r>
          </w:p>
        </w:tc>
        <w:tc>
          <w:tcPr>
            <w:tcW w:type="dxa" w:w="2495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Dentro del saldo restante del plazo</w:t>
            </w:r>
          </w:p>
        </w:tc>
        <w:tc>
          <w:tcPr>
            <w:tcW w:type="dxa" w:w="3853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No calcules el último día «a ojo»: conserva el justificante de la papeleta y comprueba el saldo exacto con asesoramiento inmediato</w:t>
            </w:r>
          </w:p>
        </w:tc>
      </w:tr>
      <w:tr>
        <w:tc>
          <w:tcPr>
            <w:tcW w:type="dxa" w:w="2679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Juicio y sentencia</w:t>
            </w:r>
          </w:p>
        </w:tc>
        <w:tc>
          <w:tcPr>
            <w:tcW w:type="dxa" w:w="2495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Meses</w:t>
            </w:r>
          </w:p>
        </w:tc>
        <w:tc>
          <w:tcPr>
            <w:tcW w:type="dxa" w:w="3853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La nulidad trae readmisión y, en su caso, daño moral</w:t>
            </w:r>
          </w:p>
        </w:tc>
      </w:tr>
    </w:tbl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G.2. Las demás vías</w:t>
      </w:r>
    </w:p>
    <w:p>
      <w:pPr>
        <w:spacing w:after="40" w:line="240" w:lineRule="auto"/>
      </w:pPr>
      <w:r>
        <w:rPr>
          <w:rFonts w:ascii="Calibri" w:hAnsi="Calibri" w:cs="Calibri"/>
          <w:b w:val="0"/>
          <w:i w:val="0"/>
          <w:color w:val="000000"/>
          <w:sz w:val="4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center"/>
        <w:tblInd w:w="0" w:type="dxa"/>
        <w:tblLayout w:type="fixed"/>
      </w:tblPr>
      <w:tblGrid>
        <w:gridCol w:w="2592"/>
        <w:gridCol w:w="2108"/>
        <w:gridCol w:w="4328"/>
      </w:tblGrid>
      <w:tr>
        <w:trPr>
          <w:tblHeader/>
        </w:trPr>
        <w:tc>
          <w:tcPr>
            <w:tcW w:type="dxa" w:w="2592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Vía</w:t>
            </w:r>
          </w:p>
        </w:tc>
        <w:tc>
          <w:tcPr>
            <w:tcW w:type="dxa" w:w="2108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Plazo</w:t>
            </w:r>
          </w:p>
        </w:tc>
        <w:tc>
          <w:tcPr>
            <w:tcW w:type="dxa" w:w="4328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Desde cuándo corre</w:t>
            </w:r>
          </w:p>
        </w:tc>
      </w:tr>
      <w:tr>
        <w:tc>
          <w:tcPr>
            <w:tcW w:type="dxa" w:w="259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Extinción ex art. 50 ET</w:t>
            </w:r>
          </w:p>
        </w:tc>
        <w:tc>
          <w:tcPr>
            <w:tcW w:type="dxa" w:w="210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i w:val="0"/>
                <w:color w:val="000000"/>
                <w:sz w:val="20"/>
              </w:rPr>
              <w:t>Sin plazo universal</w:t>
            </w:r>
          </w:p>
        </w:tc>
        <w:tc>
          <w:tcPr>
            <w:tcW w:type="dxa" w:w="432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Depende de la acción, de los hechos y de si el incumplimiento continúa; verifica la base jurídica con un laboralista</w:t>
            </w:r>
          </w:p>
        </w:tc>
      </w:tr>
      <w:tr>
        <w:tc>
          <w:tcPr>
            <w:tcW w:type="dxa" w:w="2592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Reclamación de daños por acoso</w:t>
            </w:r>
          </w:p>
        </w:tc>
        <w:tc>
          <w:tcPr>
            <w:tcW w:type="dxa" w:w="210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i w:val="0"/>
                <w:color w:val="000000"/>
                <w:sz w:val="20"/>
              </w:rPr>
              <w:t>Sin plazo universal</w:t>
            </w:r>
          </w:p>
        </w:tc>
        <w:tc>
          <w:tcPr>
            <w:tcW w:type="dxa" w:w="432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Depende de la base jurídica y de los hechos; no lo fijes con una regla genérica</w:t>
            </w:r>
          </w:p>
        </w:tc>
      </w:tr>
      <w:tr>
        <w:tc>
          <w:tcPr>
            <w:tcW w:type="dxa" w:w="259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Denuncia ante la Inspección de Trabajo</w:t>
            </w:r>
          </w:p>
        </w:tc>
        <w:tc>
          <w:tcPr>
            <w:tcW w:type="dxa" w:w="210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Cuanto antes</w:t>
            </w:r>
          </w:p>
        </w:tc>
        <w:tc>
          <w:tcPr>
            <w:tcW w:type="dxa" w:w="432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La denuncia puede ponerse sin esperar, pero la potestad sancionadora tiene límites: LISOS, art. 4 —3 años con carácter general, 4 en Seguridad Social y 1, 3 o 5 en prevención de riesgos según la gravedad—, con matices según el tipo de conducta y su fecha</w:t>
            </w:r>
          </w:p>
        </w:tc>
      </w:tr>
      <w:tr>
        <w:tc>
          <w:tcPr>
            <w:tcW w:type="dxa" w:w="2592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Denuncia interna</w:t>
            </w:r>
          </w:p>
        </w:tc>
        <w:tc>
          <w:tcPr>
            <w:tcW w:type="dxa" w:w="210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Cuanto antes</w:t>
            </w:r>
          </w:p>
        </w:tc>
        <w:tc>
          <w:tcPr>
            <w:tcW w:type="dxa" w:w="432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Sin plazo interno general; documenta la fecha y comprueba los plazos judiciales</w:t>
            </w:r>
          </w:p>
        </w:tc>
      </w:tr>
      <w:tr>
        <w:tc>
          <w:tcPr>
            <w:tcW w:type="dxa" w:w="259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Querella / denuncia penal por trato degradante (art. 173.1 CP)</w:t>
            </w:r>
          </w:p>
        </w:tc>
        <w:tc>
          <w:tcPr>
            <w:tcW w:type="dxa" w:w="210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Según el delito</w:t>
            </w:r>
          </w:p>
        </w:tc>
        <w:tc>
          <w:tcPr>
            <w:tcW w:type="dxa" w:w="4328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Prescripción del tipo aplicable; verifícala antes de presentar</w:t>
            </w:r>
          </w:p>
        </w:tc>
      </w:tr>
      <w:tr>
        <w:tc>
          <w:tcPr>
            <w:tcW w:type="dxa" w:w="2592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Infracciones del orden social (LISOS)</w:t>
            </w:r>
          </w:p>
        </w:tc>
        <w:tc>
          <w:tcPr>
            <w:tcW w:type="dxa" w:w="210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3 años (general) / 4 años (Seguridad Social)</w:t>
            </w:r>
          </w:p>
        </w:tc>
        <w:tc>
          <w:tcPr>
            <w:tcW w:type="dxa" w:w="4328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Art. 4 LISOS; la conducta continuada puede alterar el análisis</w:t>
            </w:r>
          </w:p>
        </w:tc>
      </w:tr>
    </w:tbl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G.3. La secuencia recomendada (una imagen)</w:t>
      </w:r>
    </w:p>
    <w:p>
      <w:pPr>
        <w:spacing w:after="40" w:line="240" w:lineRule="auto"/>
      </w:pPr>
      <w:r>
        <w:rPr>
          <w:rFonts w:ascii="Calibri" w:hAnsi="Calibri" w:cs="Calibri"/>
          <w:b w:val="0"/>
          <w:i w:val="0"/>
          <w:color w:val="000000"/>
          <w:sz w:val="4"/>
        </w:rPr>
        <w:t xml:space="preserve"> </w:t>
      </w:r>
    </w:p>
    <w:p>
      <w:pPr>
        <w:spacing w:after="80"/>
        <w:ind w:left="360"/>
      </w:pPr>
      <w:r>
        <w:rPr>
          <w:rFonts w:ascii="Calibri" w:hAnsi="Calibri" w:cs="Calibri"/>
          <w:b/>
          <w:sz w:val="22"/>
        </w:rPr>
        <w:t xml:space="preserve">1. </w:t>
      </w:r>
      <w:r>
        <w:rPr>
          <w:rFonts w:ascii="Calibri" w:hAnsi="Calibri" w:cs="Calibri"/>
          <w:b/>
          <w:sz w:val="22"/>
        </w:rPr>
        <w:t xml:space="preserve">Desde el primer momento:</w:t>
      </w:r>
      <w:r>
        <w:rPr>
          <w:rFonts w:ascii="Calibri" w:hAnsi="Calibri" w:cs="Calibri"/>
          <w:b w:val="0"/>
          <w:sz w:val="22"/>
        </w:rPr>
        <w:t xml:space="preserve"> documentar de forma lícita los hechos y comprobar de inmediato los plazos de cualquier acción. La comunicación interna puede ser útil cuando proceda y sea segura, pero no es un requisito universal ni suspende por sí misma los plazos judiciales.</w:t>
      </w:r>
    </w:p>
    <w:p>
      <w:pPr>
        <w:spacing w:after="80"/>
        <w:ind w:left="360"/>
      </w:pPr>
      <w:r>
        <w:rPr>
          <w:rFonts w:ascii="Calibri" w:hAnsi="Calibri" w:cs="Calibri"/>
          <w:b/>
          <w:sz w:val="22"/>
        </w:rPr>
        <w:t xml:space="preserve">2. </w:t>
      </w:r>
      <w:r>
        <w:rPr>
          <w:rFonts w:ascii="Calibri" w:hAnsi="Calibri" w:cs="Calibri"/>
          <w:b/>
          <w:sz w:val="22"/>
        </w:rPr>
        <w:t xml:space="preserve">Valorar la comunicación ante la Inspección de Trabajo</w:t>
      </w:r>
      <w:r>
        <w:rPr>
          <w:rFonts w:ascii="Calibri" w:hAnsi="Calibri" w:cs="Calibri"/>
          <w:b w:val="0"/>
          <w:sz w:val="22"/>
        </w:rPr>
        <w:t xml:space="preserve"> cuando los hechos entren en su competencia. La Inspección no tiene un plazo cierto para emitir informe: no esperes a su actuación para proteger una acción con plazo de caducidad.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3. </w:t>
      </w:r>
      <w:r>
        <w:rPr>
          <w:rFonts w:ascii="Calibri" w:hAnsi="Calibri" w:cs="Calibri"/>
          <w:b/>
          <w:i w:val="0"/>
          <w:color w:val="000000"/>
          <w:sz w:val="22"/>
        </w:rPr>
        <w:t>Si hay despido: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papeleta de conciliación dentro de los 20 días hábiles. Innegociable: suspende la caducidad.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4. </w:t>
      </w:r>
      <w:r>
        <w:rPr>
          <w:rFonts w:ascii="Calibri" w:hAnsi="Calibri" w:cs="Calibri"/>
          <w:b/>
          <w:i w:val="0"/>
          <w:color w:val="000000"/>
          <w:sz w:val="22"/>
        </w:rPr>
        <w:t>Sin despido: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valorar extinción ex art. 50 o demanda de daños, con el plazo verificado caso a caso.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5. </w:t>
      </w:r>
      <w:r>
        <w:rPr>
          <w:rFonts w:ascii="Calibri" w:hAnsi="Calibri" w:cs="Calibri"/>
          <w:b/>
          <w:i w:val="0"/>
          <w:color w:val="000000"/>
          <w:sz w:val="22"/>
        </w:rPr>
        <w:t>Casos graves: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denuncia penal, en paralelo, con la sentencia laboral como refuerzo.</w:t>
      </w:r>
    </w:p>
    <w:tbl>
      <w:tblPr>
        <w:tblW w:type="auto" w:w="0"/>
        <w:tblLook w:firstColumn="1" w:firstRow="1" w:lastColumn="0" w:lastRow="0" w:noHBand="0" w:noVBand="1" w:val="04A0"/>
        <w:jc w:val="center"/>
        <w:tblInd w:w="0" w:type="dxa"/>
        <w:tblLayout w:type="fixed"/>
      </w:tblPr>
      <w:tblGrid>
        <w:gridCol w:w="9029"/>
      </w:tblGrid>
      <w:tr>
        <w:tc>
          <w:tcPr>
            <w:tcW w:type="dxa" w:w="9029"/>
            <w:vAlign w:val="top"/>
            <w:shd w:val="clear" w:fill="E3E3E3"/>
            <w:tcBorders>
              <w:top w:val="single" w:sz="4" w:color="7F7F7F"/>
              <w:bottom w:val="single" w:sz="4" w:color="7F7F7F"/>
              <w:start w:val="single" w:sz="20" w:color="000000"/>
              <w:end w:val="single" w:sz="4" w:color="7F7F7F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120"/>
            </w:pPr>
            <w:r>
              <w:rPr>
                <w:rFonts w:ascii="Calibri" w:hAnsi="Calibri" w:cs="Calibri"/>
                <w:b/>
                <w:i w:val="0"/>
                <w:color w:val="000000"/>
                <w:sz w:val="20"/>
              </w:rPr>
              <w:t xml:space="preserve">⚠</w:t>
            </w:r>
            <w:r>
              <w:rPr>
                <w:rFonts w:ascii="Calibri" w:hAnsi="Calibri" w:cs="Calibri"/>
                <w:b/>
                <w:i w:val="0"/>
                <w:color w:val="000000"/>
                <w:sz w:val="20"/>
              </w:rPr>
              <w:t xml:space="preserve"> ALERTA JURÍDICA / RIESGO EMPRESARIAL: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La vía interna NO suspende ningún plazo. El trabajador que espera «a ver qué dice la empresa» puede encontrarse con que la acción ha caducado. Y la empresa que tarda meses en responder a una denuncia interna no gana tiempo: lo pierde, porque cada día de silencio es un indicio más contra ella.</w:t>
            </w:r>
          </w:p>
        </w:tc>
      </w:tr>
    </w:tbl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