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i w:val="0"/>
          <w:color w:val="000000"/>
          <w:sz w:val="28"/>
        </w:rPr>
        <w:t>ANEXO I</w:t>
      </w:r>
    </w:p>
    <w:p>
      <w:pPr>
        <w:spacing w:after="200"/>
      </w:pPr>
      <w:r>
        <w:rPr>
          <w:rFonts w:ascii="Calibri" w:hAnsi="Calibri" w:cs="Calibri"/>
          <w:b/>
          <w:i w:val="0"/>
          <w:color w:val="000000"/>
          <w:sz w:val="28"/>
        </w:rPr>
        <w:t>CHECKLIST DE AUDITORÍA DE CUMPLIMIENTO (30 PUNTOS, FORMATO OPERATIVO)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Versión operativa del checklist del capítulo 6, lista para usar en la auditoría anual. Marca ✓ (cumple), ✗ (no cumple) o — (no aplica, justificar), y asigna responsable y fecha de corrección por cada ✗. Imprímela, complétala en la reunión de dirección y archívala con acta. La plantilla editable está disponible mediante el enlace al repositorio al final del libro.</w:t>
      </w:r>
    </w:p>
    <w:tbl>
      <w:tblPr>
        <w:tblW w:type="auto" w:w="0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807"/>
        <w:gridCol w:w="4923"/>
        <w:gridCol w:w="1238"/>
        <w:gridCol w:w="2059"/>
      </w:tblGrid>
      <w:tr>
        <w:trPr>
          <w:tblHeader/>
        </w:trPr>
        <w:tc>
          <w:tcPr>
            <w:tcW w:type="dxa" w:w="807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N.º</w:t>
            </w:r>
          </w:p>
        </w:tc>
        <w:tc>
          <w:tcPr>
            <w:tcW w:type="dxa" w:w="4923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Ítem de verificación</w:t>
            </w:r>
          </w:p>
        </w:tc>
        <w:tc>
          <w:tcPr>
            <w:tcW w:type="dxa" w:w="1238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2059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Responsable / fecha de corrección</w:t>
            </w: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Protocolo de acoso laboral, sexual y por razón de sexo, vigente y adaptado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Protocolo firmado, fechado y personalizado (no fotocopia sin adaptar)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Conductas definidas con ejemplos concretos y remisión al convenio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Comisión instructora designada por nombre y cargo, con suplentes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Formación específica de la comisión, documentada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Análisis de imparcialidad y reglas de abstención por escrito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Canal interno Ley 2/2023 implantado (si plantilla ≥ 50)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Responsable del sistema designado formalmente y notificado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Protocolo y canal conectados (derivación documentada)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Plan de igualdad con protocolo de acoso sexual (si plantilla ≥ 50)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Evaluación de riesgos psicosociales actualizada (menos de 3 años)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Medidas preventivas derivadas de la evaluación, con responsables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Vigilancia de la salud orientada a riesgos psicosociales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Formación en acoso a la plantilla en los últimos 2 años, con registro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Formación específica de mandos en detección y gestión de conflictos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Procedimiento de gestión de conflictos diferenciado del protocolo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Comunicación interna de la política de tolerancia cero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Personal externo (ETT, contratas, becarios) cubierto por el protocolo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Registro de denuncias recibidas con acuse de recibo en plazo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Expedientes tramitados con plazos, audiencias y confidencialidad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Medidas cautelares adoptadas y documentadas cuando procedía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Conclusiones comunicadas a ambas partes por escrito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Sanciones impuestas conforme al régimen disciplinario del convenio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Seguimiento de víctimas y denunciados tras el cierre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Sin constancia de represalias contra denunciantes de buena fe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Libro-registro del canal conservado con la confidencialidad exigida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Revisión anual del sistema por la dirección, con acta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Protocolo revisado tras el último expediente y tras cambios normativos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492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Póliza de RC que no excluya daños por riesgos psicosociales</w:t>
            </w:r>
          </w:p>
        </w:tc>
        <w:tc>
          <w:tcPr>
            <w:tcW w:type="dxa" w:w="123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1700" w:hRule="atLeast"/>
        </w:trPr>
        <w:tc>
          <w:tcPr>
            <w:tcW w:type="dxa" w:w="807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492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Auditoría externa del sistema en los últimos 2 años</w:t>
            </w:r>
          </w:p>
        </w:tc>
        <w:tc>
          <w:tcPr>
            <w:tcW w:type="dxa" w:w="123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05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before="160"/>
      </w:pPr>
      <w:r>
        <w:rPr>
          <w:rFonts w:ascii="Calibri" w:hAnsi="Calibri" w:cs="Calibri"/>
          <w:b/>
          <w:i w:val="0"/>
          <w:color w:val="000000"/>
          <w:sz w:val="22"/>
        </w:rPr>
        <w:t>Criterio de evaluación: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menos de 25 ✓ → plan de corrección urgente en 30 días. De 25 a 28 ✓ → plan de mejora en 90 días. 29-30 ✓ → sistema vivo; mantener la revisión anual y registrar el acta.</w:t>
      </w:r>
    </w:p>
    <w:p>
      <w:pPr>
        <w:spacing w:after="40" w:line="240" w:lineRule="auto"/>
      </w:pPr>
      <w:r>
        <w:rPr>
          <w:rFonts w:ascii="Calibri" w:hAnsi="Calibri" w:cs="Calibri"/>
          <w:b w:val="0"/>
          <w:i w:val="0"/>
          <w:color w:val="000000"/>
          <w:sz w:val="4"/>
        </w:rPr>
        <w:t xml:space="preserve"> 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