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cs="Arial"/>
          <w:b/>
          <w:i w:val="0"/>
          <w:color w:val="000000"/>
          <w:sz w:val="22"/>
        </w:rPr>
        <w:t>ANEXO A</w:t>
      </w:r>
    </w:p>
    <w:p>
      <w:pPr>
        <w:spacing w:after="320"/>
        <w:keepNext/>
        <w:pBdr>
          <w:bottom w:val="single" w:sz="8" w:space="4" w:color="000000"/>
        </w:pBdr>
      </w:pPr>
      <w:r>
        <w:rPr>
          <w:rFonts w:ascii="Arial" w:hAnsi="Arial" w:cs="Arial"/>
          <w:b/>
          <w:i w:val="0"/>
          <w:color w:val="000000"/>
          <w:sz w:val="33"/>
        </w:rPr>
        <w:t>PLANTILLA DE PROTOCOLO DE PREVENCIÓN DEL ACOSO — PYME (TEXTO COMPLETO)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Instrucciones de uso: sustituye todo lo que está entre [CORCHETES] por los datos de tu empresa. Léelo entero antes de firmarlo: un protocolo que nadie ha leído es un protocolo que nadie aplicará. La plantilla editable está disponible mediante el enlace al repositorio al final del libro.</w:t>
      </w:r>
    </w:p>
    <w:p>
      <w:pPr>
        <w:spacing w:before="240" w:after="120"/>
        <w:keepNext/>
      </w:pPr>
      <w:r>
        <w:rPr>
          <w:rFonts w:ascii="Arial" w:hAnsi="Arial" w:cs="Arial"/>
          <w:b/>
          <w:i w:val="0"/>
          <w:color w:val="000000"/>
          <w:sz w:val="24"/>
        </w:rPr>
        <w:t>Artículo 1. Objeto y declaración de principios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[EMPRESA, S.L.], con CIF [XXX] y domicilio en [DIRECCIÓN], declara que la dignidad de las personas es un valor irrenunciable de la organización y que el acoso laboral, el acoso sexual y el acoso por razón de sexo no serán tolerados en ningún caso, con independencia de quién sea la persona afectada o de su posición en la empresa.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El presente protocolo tiene por objeto prevenir estas conductas, establecer un procedimiento interno de actuación ante las denuncias que se presenten y garantizar los derechos de todas las personas implicadas, en cumplimiento del artículo 4.2.e del Estatuto de los Trabajadores, de la Ley 31/1995 de Prevención de Riesgos Laborales, de los artículos 7 y 48 de la Ley Orgánica 3/2007 y de la Ley 2/2023 en lo que resulte de aplicación.</w:t>
      </w:r>
    </w:p>
    <w:p>
      <w:pPr>
        <w:spacing w:before="240" w:after="120"/>
        <w:keepNext/>
      </w:pPr>
      <w:r>
        <w:rPr>
          <w:rFonts w:ascii="Arial" w:hAnsi="Arial" w:cs="Arial"/>
          <w:b/>
          <w:i w:val="0"/>
          <w:color w:val="000000"/>
          <w:sz w:val="24"/>
        </w:rPr>
        <w:t>Artículo 2. Ámbito de aplicación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Personal.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Este protocolo se aplica a todas las personas que prestan servicios en la empresa: personal laboral, personas en prácticas o formación, personal de empresas de trabajo temporal y personal de contratas que opere en nuestros centros, en los términos del artículo 3.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Material.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Quedan incluidas las conductas de acoso laboral, acoso sexual, acoso por razón de sexo y acoso discriminatorio definidas en el artículo 3, cometidas en el centro de trabajo, en desplazamientos, en actividades organizadas por la empresa o a través de medios digitales relacionados con la actividad laboral.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Territorial y temporal.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El protocolo se aplica en todos los centros de la empresa y durante toda la relación, incluidos los periodos de prueba y las situaciones de suspensión con reserva de puesto.</w:t>
      </w:r>
    </w:p>
    <w:p>
      <w:pPr>
        <w:spacing w:before="240" w:after="120"/>
        <w:keepNext/>
      </w:pPr>
      <w:r>
        <w:rPr>
          <w:rFonts w:ascii="Arial" w:hAnsi="Arial" w:cs="Arial"/>
          <w:b/>
          <w:i w:val="0"/>
          <w:color w:val="000000"/>
          <w:sz w:val="24"/>
        </w:rPr>
        <w:t>Artículo 3. Definiciones y conductas constitutivas de acoso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Acoso laboral (mobbing).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Toda conducta, práctica o comportamiento realizado en el marco de la relación de trabajo que suponga un atentado contra la dignidad de la persona, mediante un trato vejatorio, humillante u hostil, de forma reiterada y sistemática, con la finalidad de dañar su integridad psicológica o de degradar su entorno laboral. A título de ejemplo: humillaciones públicas o privadas, aislamiento, sobrecarga o infracarga deliberada de tareas, retirada injustificada de funciones, difusión de rumores, críticas sistemáticas a la vida privada, amenazas veladas, sanciones o cambios de puesto sin causa objetiva dirigidos contra una persona concreta.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Acoso sexual.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Cualquier comportamiento, verbal o físico, de naturaleza sexual, no deseado por la persona a la que se dirige, que tenga el propósito o el efecto de atentar contra su dignidad o de crear un entorno intimidatorio, degradante u ofensivo. No requiere reiteración: un solo episodio de suficiente gravedad constituye acoso.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Acoso por razón de sexo.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Cualquier comportamiento realizado en función del sexo de una persona, no deseado, con el propósito o el efecto de atentar contra su dignidad o de crear un entorno intimidatorio, degradante u ofensivo.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Acoso discriminatorio.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El acoso motivado por cualquier otra causa protegida (origen, orientación sexual, identidad de género, edad, discapacidad, religión, etc.) en los términos de la Ley 15/2022.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Conductas excluidas.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No constituyen acoso las exigencias legítimas del poder de dirección y organización (artículo 20 del Estatuto de los Trabajadores), los conflictos interpersonales puntuales sin sistematicidad ni finalidad lesiva, ni las correcciones proporcionadas por el desempeño, siempre que se ejerzan con respeto y sin atentar contra la dignidad.</w:t>
      </w:r>
    </w:p>
    <w:p>
      <w:pPr>
        <w:spacing w:before="240" w:after="120"/>
        <w:keepNext/>
      </w:pPr>
      <w:r>
        <w:rPr>
          <w:rFonts w:ascii="Arial" w:hAnsi="Arial" w:cs="Arial"/>
          <w:b/>
          <w:i w:val="0"/>
          <w:color w:val="000000"/>
          <w:sz w:val="24"/>
        </w:rPr>
        <w:t>Artículo 4. Garantías del procedimiento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1. </w:t>
      </w:r>
      <w:r>
        <w:rPr>
          <w:rFonts w:ascii="Georgia" w:hAnsi="Georgia" w:cs="Georgia"/>
          <w:b/>
          <w:i w:val="0"/>
          <w:color w:val="000000"/>
          <w:sz w:val="21"/>
        </w:rPr>
        <w:t>Confidencialidad.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Todas las actuaciones son confidenciales. Solo tendrán acceso al expediente la comisión instructora y, en su caso, los asesores designados.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2. </w:t>
      </w:r>
      <w:r>
        <w:rPr>
          <w:rFonts w:ascii="Georgia" w:hAnsi="Georgia" w:cs="Georgia"/>
          <w:b/>
          <w:i w:val="0"/>
          <w:color w:val="000000"/>
          <w:sz w:val="21"/>
        </w:rPr>
        <w:t>Diligencia y celeridad.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La instrucción se realizará sin demoras injustificadas y dentro de los plazos de este protocolo.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3. </w:t>
      </w:r>
      <w:r>
        <w:rPr>
          <w:rFonts w:ascii="Georgia" w:hAnsi="Georgia" w:cs="Georgia"/>
          <w:b/>
          <w:i w:val="0"/>
          <w:color w:val="000000"/>
          <w:sz w:val="21"/>
        </w:rPr>
        <w:t>Contradicción e imparcialidad.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Las partes serán oídas por separado, con iguales garantías, por una comisión imparcial.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4. </w:t>
      </w:r>
      <w:r>
        <w:rPr>
          <w:rFonts w:ascii="Georgia" w:hAnsi="Georgia" w:cs="Georgia"/>
          <w:b/>
          <w:i w:val="0"/>
          <w:color w:val="000000"/>
          <w:sz w:val="21"/>
        </w:rPr>
        <w:t>Presunción de inocencia.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La persona denunciada goza de presunción de inocencia durante todo el procedimiento.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5. </w:t>
      </w:r>
      <w:r>
        <w:rPr>
          <w:rFonts w:ascii="Georgia" w:hAnsi="Georgia" w:cs="Georgia"/>
          <w:b/>
          <w:i w:val="0"/>
          <w:color w:val="000000"/>
          <w:sz w:val="21"/>
        </w:rPr>
        <w:t>Prohibición de represalias.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Queda prohibida cualquier represalia contra quien denuncie de buena fe, contra los testigos y contra quienes colaboren en la instrucción. Las represalias serán sancionadas.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6. </w:t>
      </w:r>
      <w:r>
        <w:rPr>
          <w:rFonts w:ascii="Georgia" w:hAnsi="Georgia" w:cs="Georgia"/>
          <w:b/>
          <w:i w:val="0"/>
          <w:color w:val="000000"/>
          <w:sz w:val="21"/>
        </w:rPr>
        <w:t>Protección de datos.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El tratamiento de los datos del expediente se ajustará al RGPD y a la LO 3/2018. El expediente se tramitará en un sistema seguro, con acceso limitado a quienes necesiten conocer los datos para sus funciones, sin copias en carpetas compartidas sin control ni reenvíos por correo personal. Los datos de salud —partes de baja e informes psicológicos— se tratarán con minimización y acceso especialmente restringido. La conservación, supresión o anonimización se determinará conforme a la finalidad y a las obligaciones legales aplicables. Cuando los datos formen parte del Sistema interno de información de la Ley 2/2023, se aplicarán además las reglas específicas de su artículo 32.</w:t>
      </w:r>
    </w:p>
    <w:p>
      <w:pPr>
        <w:spacing w:before="240" w:after="120"/>
        <w:keepNext/>
      </w:pPr>
      <w:r>
        <w:rPr>
          <w:rFonts w:ascii="Arial" w:hAnsi="Arial" w:cs="Arial"/>
          <w:b/>
          <w:i w:val="0"/>
          <w:color w:val="000000"/>
          <w:sz w:val="24"/>
        </w:rPr>
        <w:t>Artículo 5. Comisión instructora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La comisión instructora está formada por: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[NOMBRE Y CARGO], en calidad de presidente/a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[NOMBRE Y CARGO], vocal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[NOMBRE Y CARGO], vocal suplente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La comisión podrá recabar el asesoramiento de [ASESORÍA EXTERNA] cuando la complejidad del caso o la posición de las personas implicadas lo aconseje. En particular, la instrucción se encomendará a asesoramiento externo cuando la persona denunciada sea [ADMINISTRADOR/A, GERENTE] o cualquier miembro de la propia comisión.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Los miembros de la comisión deberán abstenerse cuando concurra parentesco, amistad íntima, enemistad manifiesta o interés directo con las partes, y podrán ser recusados por las mismas.</w:t>
      </w:r>
    </w:p>
    <w:p>
      <w:pPr>
        <w:spacing w:before="240" w:after="120"/>
        <w:keepNext/>
      </w:pPr>
      <w:r>
        <w:rPr>
          <w:rFonts w:ascii="Arial" w:hAnsi="Arial" w:cs="Arial"/>
          <w:b/>
          <w:i w:val="0"/>
          <w:color w:val="000000"/>
          <w:sz w:val="24"/>
        </w:rPr>
        <w:t>Artículo 6. Procedimiento de actuación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Inicio.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La comunicación puede presentarse por los medios previstos en el procedimiento interno [ESPECIFICAR]. Si se recibe verbalmente, se documentará con respeto a la confidencialidad y a las garantías de las personas implicadas, conforme al procedimiento aplicable. Comunicaciones anónimas: [SE ADMITEN / NO SE ADMITEN; EXPLICAR CÓMO SE GESTIONAN]. Integración en el Sistema interno de información de la Ley 2/2023: [SÍ / NO; ESPECIFICAR].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Acuse de recibo.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En el plazo de 48-72 horas desde la recepción, la comisión acusará recibo por escrito a la persona denunciante, informándole del procedimiento y de las garantías.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Valoración preliminar.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En los 5 días hábiles siguientes, la comisión decidirá de forma motivada: (a) la admisión y tramitación, (b) la derivación a la gestión de conflictos, o (c) el archivo por manifiesta falta de encaje, comunicándolo por escrito.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Medidas cautelares.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La comisión podrá adoptar, sin prejuzgar el fondo, medidas de separación preventiva de las partes —cambio de turno, de puesto, teletrabajo—, que se revisarán cada 15 días.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Instrucción.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La comisión entrevistará por separado a denunciante, denunciado y testigos, recogerá los documentos y pruebas lícitas disponibles y levantará acta de cada actuación. La instrucción se completará en un plazo máximo de 15 días hábiles, ampliable a 30 de forma motivada.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Informe de conclusiones.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La comisión emitirá informe con los hechos probados, la valoración y la propuesta: archivo motivado, medidas organizativas o apertura de expediente disciplinario. Se notificará a ambas partes la parte que a cada una le afecte.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Ejecución.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Las sanciones se impondrán conforme al régimen disciplinario del [CONVENIO APLICABLE], con la tramitación legal correspondiente.</w:t>
      </w:r>
    </w:p>
    <w:p>
      <w:pPr>
        <w:spacing w:before="240" w:after="120"/>
        <w:keepNext/>
      </w:pPr>
      <w:r>
        <w:rPr>
          <w:rFonts w:ascii="Arial" w:hAnsi="Arial" w:cs="Arial"/>
          <w:b/>
          <w:i w:val="0"/>
          <w:color w:val="000000"/>
          <w:sz w:val="24"/>
        </w:rPr>
        <w:t>Artículo 7. Circunstancias agravantes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Se consideran agravantes: el abuso de autoridad o la posición jerárquica, la reiteración, la concurrencia de varias modalidades de acoso, la especial vulnerabilidad de la víctima, la existencia de denuncias previas contra la misma persona y la obstrucción de la investigación.</w:t>
      </w:r>
    </w:p>
    <w:p>
      <w:pPr>
        <w:spacing w:before="240" w:after="120"/>
        <w:keepNext/>
      </w:pPr>
      <w:r>
        <w:rPr>
          <w:rFonts w:ascii="Arial" w:hAnsi="Arial" w:cs="Arial"/>
          <w:b/>
          <w:i w:val="0"/>
          <w:color w:val="000000"/>
          <w:sz w:val="24"/>
        </w:rPr>
        <w:t>Artículo 8. Denuncias falsas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Las denuncias presentadas de mala fe, con hechos falsos a sabiendas, podrán dar lugar a la adopción de medidas disciplinarias contra la persona denunciante, sin perjuicio de las acciones legales que correspondan.</w:t>
      </w:r>
    </w:p>
    <w:p>
      <w:pPr>
        <w:spacing w:before="240" w:after="120"/>
        <w:keepNext/>
      </w:pPr>
      <w:r>
        <w:rPr>
          <w:rFonts w:ascii="Arial" w:hAnsi="Arial" w:cs="Arial"/>
          <w:b/>
          <w:i w:val="0"/>
          <w:color w:val="000000"/>
          <w:sz w:val="24"/>
        </w:rPr>
        <w:t>Artículo 9. Seguimiento, difusión y revisión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El protocolo se difundirá a toda la plantilla —incluida su entrega en el momento de la incorporación—, se integrará en la formación periódica en prevención y se revisará: (a) anualmente, (b) tras cada expediente tramitado, y (c) ante cualquier cambio normativo o organizativo relevante.</w:t>
      </w:r>
    </w:p>
    <w:p>
      <w:pPr>
        <w:spacing w:before="240" w:after="120"/>
        <w:keepNext/>
      </w:pPr>
      <w:r>
        <w:rPr>
          <w:rFonts w:ascii="Arial" w:hAnsi="Arial" w:cs="Arial"/>
          <w:b/>
          <w:i w:val="0"/>
          <w:color w:val="000000"/>
          <w:sz w:val="24"/>
        </w:rPr>
        <w:t>Artículo 10. Vigencia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El presente protocolo entra en vigor el [FECHA] y permanecerá vigente en tanto no se modifique o sustituya expresamente. La empresa conservará una copia firmada y fechada, y acreditará su difusión mediante [REGISTRO DE ENTREGA/FIRMA].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Firmado: [DIRECCIÓN] — [FECHA]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Visto: [REPRESENTACIÓN LEGAL DE LOS TRABAJADORES, SI PROCEDE]</w:t>
      </w:r>
    </w:p>
    <w:sectPr w:rsidR="00FC693F" w:rsidRPr="0006063C" w:rsidSect="00034616">
      <w:headerReference w:type="first" r:id="rId9"/>
      <w:headerReference w:type="default" r:id="rId10"/>
      <w:headerReference w:type="even" r:id="rId11"/>
      <w:pgSz w:w="8640" w:h="12960"/>
      <w:pgMar w:top="1224" w:right="936" w:bottom="1080" w:left="1368" w:header="648" w:footer="576" w:gutter="0"/>
      <w:cols w:space="720"/>
      <w:titlePg/>
      <w:docGrid w:linePitch="360"/>
      <w:mirrorMargin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6336" w:val="right"/>
      </w:tabs>
      <w:spacing w:after="0"/>
      <w:pBdr>
        <w:bottom w:val="single" w:sz="4" w:space="4" w:color="BFBFBF"/>
      </w:pBdr>
    </w:pPr>
    <w:r/>
    <w:r>
      <w:rPr>
        <w:rFonts w:ascii="Arial" w:hAnsi="Arial" w:cs="Arial"/>
        <w:b w:val="0"/>
        <w:i w:val="0"/>
        <w:color w:val="595959"/>
        <w:sz w:val="15"/>
      </w:rPr>
      <w:fldChar w:fldCharType="begin"/>
    </w:r>
    <w:r>
      <w:rPr>
        <w:rFonts w:ascii="Arial" w:hAnsi="Arial" w:cs="Arial"/>
        <w:b w:val="0"/>
        <w:i w:val="0"/>
        <w:color w:val="595959"/>
        <w:sz w:val="15"/>
      </w:rPr>
      <w:instrText xml:space="preserve">PAGE</w:instrText>
    </w:r>
    <w:r>
      <w:rPr>
        <w:rFonts w:ascii="Arial" w:hAnsi="Arial" w:cs="Arial"/>
        <w:b w:val="0"/>
        <w:i w:val="0"/>
        <w:color w:val="595959"/>
        <w:sz w:val="15"/>
      </w:rPr>
      <w:fldChar w:fldCharType="end"/>
    </w:r>
    <w:r>
      <w:tab/>
    </w:r>
    <w:r>
      <w:rPr>
        <w:rFonts w:ascii="Arial" w:hAnsi="Arial" w:cs="Arial"/>
        <w:b w:val="0"/>
        <w:i w:val="0"/>
        <w:color w:val="595959"/>
        <w:sz w:val="15"/>
      </w:rPr>
      <w:t>ACOSO LABORAL EN LA EMPRESA PRIVADA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6336" w:val="right"/>
      </w:tabs>
      <w:spacing w:after="0"/>
      <w:pBdr>
        <w:bottom w:val="single" w:sz="4" w:space="4" w:color="BFBFBF"/>
      </w:pBdr>
    </w:pPr>
    <w:r/>
    <w:r>
      <w:rPr>
        <w:rFonts w:ascii="Arial" w:hAnsi="Arial" w:cs="Arial"/>
        <w:b w:val="0"/>
        <w:i w:val="0"/>
        <w:color w:val="595959"/>
        <w:sz w:val="15"/>
      </w:rPr>
      <w:t>ACOSO LABORAL EN LA EMPRESA PRIVADA</w:t>
    </w:r>
    <w:r>
      <w:tab/>
    </w:r>
    <w:r>
      <w:rPr>
        <w:rFonts w:ascii="Arial" w:hAnsi="Arial" w:cs="Arial"/>
        <w:b w:val="0"/>
        <w:i w:val="0"/>
        <w:color w:val="595959"/>
        <w:sz w:val="15"/>
      </w:rPr>
      <w:fldChar w:fldCharType="begin"/>
    </w:r>
    <w:r>
      <w:rPr>
        <w:rFonts w:ascii="Arial" w:hAnsi="Arial" w:cs="Arial"/>
        <w:b w:val="0"/>
        <w:i w:val="0"/>
        <w:color w:val="595959"/>
        <w:sz w:val="15"/>
      </w:rPr>
      <w:instrText xml:space="preserve">PAGE</w:instrText>
    </w:r>
    <w:r>
      <w:rPr>
        <w:rFonts w:ascii="Arial" w:hAnsi="Arial" w:cs="Arial"/>
        <w:b w:val="0"/>
        <w:i w:val="0"/>
        <w:color w:val="595959"/>
        <w:sz w:val="15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  <w:autoHyphenation w:val="true"/>
  <w:hyphenationZone w:val="6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  <w:jc w:val="both"/>
    </w:pPr>
    <w:rPr>
      <w:rFonts w:ascii="Georgia" w:hAnsi="Georgia"/>
      <w:sz w:val="21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Definitiva contra el Acoso Laboral en la Empresa Privada — ANEXO A · PROTOCOLO DE PREVENCIÓN DEL ACOSO — PYME</dc:title>
  <dc:subject>Acoso laboral en la empresa privada</dc:subject>
  <dc:creator>E. J. López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