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rial" w:hAnsi="Arial" w:cs="Arial"/>
          <w:b/>
          <w:i w:val="0"/>
          <w:color w:val="000000"/>
          <w:sz w:val="22"/>
        </w:rPr>
        <w:t>ANEXO B</w:t>
      </w:r>
    </w:p>
    <w:p>
      <w:pPr>
        <w:spacing w:after="320"/>
        <w:keepNext/>
        <w:pBdr>
          <w:bottom w:val="single" w:sz="8" w:space="4" w:color="000000"/>
        </w:pBdr>
      </w:pPr>
      <w:r>
        <w:rPr>
          <w:rFonts w:ascii="Arial" w:hAnsi="Arial" w:cs="Arial"/>
          <w:b/>
          <w:i w:val="0"/>
          <w:color w:val="000000"/>
          <w:sz w:val="33"/>
        </w:rPr>
        <w:t>PLANTILLA DE PROTOCOLO — GRAN EMPRESA / GRUPO (GUÍA DE ADAPTACIÓN)</w:t>
      </w:r>
    </w:p>
    <w:p>
      <w:r>
        <w:rPr>
          <w:rFonts w:ascii="Georgia" w:hAnsi="Georgia" w:cs="Georgia"/>
          <w:b w:val="0"/>
          <w:i w:val="0"/>
          <w:color w:val="000000"/>
          <w:sz w:val="21"/>
        </w:rPr>
        <w:t>El Anexo A contiene el texto completo válido para cualquier empresa. Este anexo detalla las adaptaciones necesarias para organizaciones grandes, grupos de empresas y estructuras con varios centros. No sustituye al Anexo A: lo completa. Las plantillas editables están disponibles mediante el enlace al repositorio al final del libro.</w:t>
      </w:r>
    </w:p>
    <w:p>
      <w:pPr>
        <w:spacing w:before="240" w:after="120"/>
        <w:keepNext/>
      </w:pPr>
      <w:r>
        <w:rPr>
          <w:rFonts w:ascii="Arial" w:hAnsi="Arial" w:cs="Arial"/>
          <w:b/>
          <w:i w:val="0"/>
          <w:color w:val="000000"/>
          <w:sz w:val="24"/>
        </w:rPr>
        <w:t>B.1. Lo que cambia en una gran empresa</w:t>
      </w:r>
    </w:p>
    <w:p>
      <w:r>
        <w:rPr>
          <w:rFonts w:ascii="Georgia" w:hAnsi="Georgia" w:cs="Georgia"/>
          <w:b/>
          <w:i w:val="0"/>
          <w:color w:val="000000"/>
          <w:sz w:val="21"/>
        </w:rPr>
        <w:t>Comisiones por centro o ámbito.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La comisión única es inviable con varios centros y turnos. La estructura recomendada: una comisión de ámbito estatal o de grupo que garantice la coherencia, y comisiones delegadas por centro o división, con al menos tres miembros cada una y suplentes. Regla de oro: la comisión delegada no puede instruir casos en los que esté implicado su propio responsable de centro —esos casos suben al ámbito superior.</w:t>
      </w:r>
    </w:p>
    <w:p>
      <w:r>
        <w:rPr>
          <w:rFonts w:ascii="Georgia" w:hAnsi="Georgia" w:cs="Georgia"/>
          <w:b/>
          <w:sz w:val="21"/>
        </w:rPr>
        <w:t xml:space="preserve">Coordinación con otros instrumentos.</w:t>
      </w:r>
      <w:r>
        <w:rPr>
          <w:rFonts w:ascii="Georgia" w:hAnsi="Georgia" w:cs="Georgia"/>
          <w:b w:val="0"/>
          <w:sz w:val="21"/>
        </w:rPr>
        <w:t xml:space="preserve"> El protocolo debe coordinarse con el plan de igualdad —cuando sea obligatorio— y sus medidas frente al acoso sexual y por razón de sexo, así como con el canal interno y el servicio de prevención.</w:t>
      </w:r>
    </w:p>
    <w:p>
      <w:r>
        <w:rPr>
          <w:rFonts w:ascii="Georgia" w:hAnsi="Georgia" w:cs="Georgia"/>
          <w:b/>
          <w:i w:val="0"/>
          <w:color w:val="000000"/>
          <w:sz w:val="21"/>
        </w:rPr>
        <w:t>Negociación con la representación legal de los trabajadores.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En empresas con representación sindical, el protocolo del plan de igualdad se negocia; el protocolo general de acoso laboral conviene acordarlo o, al menos, consultarlo. La implantación unilateral de un protocolo que afecta a condiciones de trabajo es terreno fértil para la impugnación. La vía segura: negociación, acuerdo por escrito y difusión conjunta.</w:t>
      </w:r>
    </w:p>
    <w:p>
      <w:r>
        <w:rPr>
          <w:rFonts w:ascii="Georgia" w:hAnsi="Georgia" w:cs="Georgia"/>
          <w:b/>
          <w:i w:val="0"/>
          <w:color w:val="000000"/>
          <w:sz w:val="21"/>
        </w:rPr>
        <w:t>Protección de datos a escala.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Con varios centros y terceros (ETT, contratas), el flujo de datos del expediente debe mapearse: quién trata qué, con qué base, con qué acceso y con qué conservación. Un registro de actividades de tratamiento específico del protocolo, por breve que sea, ahorra problemas.</w:t>
      </w:r>
    </w:p>
    <w:p>
      <w:pPr>
        <w:spacing w:before="240" w:after="120"/>
        <w:keepNext/>
      </w:pPr>
      <w:r>
        <w:rPr>
          <w:rFonts w:ascii="Arial" w:hAnsi="Arial" w:cs="Arial"/>
          <w:b/>
          <w:i w:val="0"/>
          <w:color w:val="000000"/>
          <w:sz w:val="24"/>
        </w:rPr>
        <w:t>B.2. Artículos adicionales para la plantilla de gran empresa</w:t>
      </w:r>
    </w:p>
    <w:p>
      <w:r>
        <w:rPr>
          <w:rFonts w:ascii="Georgia" w:hAnsi="Georgia" w:cs="Georgia"/>
          <w:b/>
          <w:i w:val="0"/>
          <w:color w:val="000000"/>
          <w:sz w:val="21"/>
        </w:rPr>
        <w:t>Artículo X. Ámbito de coordinación.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Las denuncias de acoso se tramitarán por el presente protocolo. Las que entren por el canal interno de la Ley 2/2023 se derivarán a la comisión competente en 48 horas, manteniéndose todas las garantías de protección del informante. Las denuncias de acoso sexual y por razón de sexo se tramitarán por el procedimiento del plan de igualdad cuando este prevea un cauce específico, sin perjuicio de la aplicación supletoria de este protocolo.</w:t>
      </w:r>
    </w:p>
    <w:p>
      <w:r>
        <w:rPr>
          <w:rFonts w:ascii="Georgia" w:hAnsi="Georgia" w:cs="Georgia"/>
          <w:b/>
          <w:i w:val="0"/>
          <w:color w:val="000000"/>
          <w:sz w:val="21"/>
        </w:rPr>
        <w:t>Artículo Y. Comisiones delegadas.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[DESCRIBIR LAS COMISIONES POR CENTRO CON SUS MIEMBROS Y SUPLENTES, Y LOS SUPUESTOS DE ELEVACIÓN AL ÁMBITO SUPERIOR: implicación de mandos del centro, complejidad, riesgo de parcialidad.]</w:t>
      </w:r>
    </w:p>
    <w:p>
      <w:r>
        <w:rPr>
          <w:rFonts w:ascii="Georgia" w:hAnsi="Georgia" w:cs="Georgia"/>
          <w:b/>
          <w:i w:val="0"/>
          <w:color w:val="000000"/>
          <w:sz w:val="21"/>
        </w:rPr>
        <w:t>Artículo Z. Formación y difusión.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La formación en este protocolo es obligatoria para [DIRECCIÓN, MANDOS, RRHH Y MIEMBROS DE COMISIONES] con periodicidad [ANUAL/BIENAL], y de oferta general para el resto de la plantilla, con registro de asistencia. La difusión incluye [INTRANET, ONBOARDING, TABLONES, CONTRATAS].</w:t>
      </w:r>
    </w:p>
    <w:p>
      <w:pPr>
        <w:spacing w:before="240" w:after="120"/>
        <w:keepNext/>
      </w:pPr>
      <w:r>
        <w:rPr>
          <w:rFonts w:ascii="Arial" w:hAnsi="Arial" w:cs="Arial"/>
          <w:b/>
          <w:i w:val="0"/>
          <w:color w:val="000000"/>
          <w:sz w:val="24"/>
        </w:rPr>
        <w:t>B.3. Checklist de adaptación gran empresa</w:t>
      </w:r>
    </w:p>
    <w:p>
      <w:pPr>
        <w:spacing w:after="80"/>
        <w:ind w:left="360"/>
      </w:pPr>
      <w:r>
        <w:rPr>
          <w:rFonts w:ascii="Arial" w:hAnsi="Arial" w:cs="Arial"/>
          <w:b/>
          <w:i w:val="0"/>
          <w:color w:val="000000"/>
          <w:sz w:val="21"/>
        </w:rPr>
        <w:t xml:space="preserve">1. </w:t>
      </w:r>
      <w:r>
        <w:rPr>
          <w:rFonts w:ascii="Georgia" w:hAnsi="Georgia" w:cs="Georgia"/>
          <w:b w:val="0"/>
          <w:i w:val="0"/>
          <w:color w:val="000000"/>
          <w:sz w:val="21"/>
        </w:rPr>
        <w:t>Comisiones designadas por nombre en cada centro, con suplentes.</w:t>
      </w:r>
    </w:p>
    <w:p>
      <w:pPr>
        <w:spacing w:after="80"/>
        <w:ind w:left="360"/>
      </w:pPr>
      <w:r>
        <w:rPr>
          <w:rFonts w:ascii="Arial" w:hAnsi="Arial" w:cs="Arial"/>
          <w:b/>
          <w:i w:val="0"/>
          <w:color w:val="000000"/>
          <w:sz w:val="21"/>
        </w:rPr>
        <w:t xml:space="preserve">2. </w:t>
      </w:r>
      <w:r>
        <w:rPr>
          <w:rFonts w:ascii="Georgia" w:hAnsi="Georgia" w:cs="Georgia"/>
          <w:b w:val="0"/>
          <w:i w:val="0"/>
          <w:color w:val="000000"/>
          <w:sz w:val="21"/>
        </w:rPr>
        <w:t>Reglas de elevación de casos al ámbito superior, por escrito.</w:t>
      </w:r>
    </w:p>
    <w:p>
      <w:pPr>
        <w:spacing w:after="80"/>
        <w:ind w:left="360"/>
      </w:pPr>
      <w:r>
        <w:rPr>
          <w:rFonts w:ascii="Arial" w:hAnsi="Arial" w:cs="Arial"/>
          <w:b/>
          <w:i w:val="0"/>
          <w:color w:val="000000"/>
          <w:sz w:val="21"/>
        </w:rPr>
        <w:t xml:space="preserve">3. </w:t>
      </w:r>
      <w:r>
        <w:rPr>
          <w:rFonts w:ascii="Georgia" w:hAnsi="Georgia" w:cs="Georgia"/>
          <w:b w:val="0"/>
          <w:i w:val="0"/>
          <w:color w:val="000000"/>
          <w:sz w:val="21"/>
        </w:rPr>
        <w:t>Artículo de coordinación con plan de igualdad, canal interno y PRL.</w:t>
      </w:r>
    </w:p>
    <w:p>
      <w:pPr>
        <w:spacing w:after="80"/>
        <w:ind w:left="360"/>
      </w:pPr>
      <w:r>
        <w:rPr>
          <w:rFonts w:ascii="Arial" w:hAnsi="Arial" w:cs="Arial"/>
          <w:b/>
          <w:i w:val="0"/>
          <w:color w:val="000000"/>
          <w:sz w:val="21"/>
        </w:rPr>
        <w:t xml:space="preserve">4. </w:t>
      </w:r>
      <w:r>
        <w:rPr>
          <w:rFonts w:ascii="Georgia" w:hAnsi="Georgia" w:cs="Georgia"/>
          <w:b w:val="0"/>
          <w:i w:val="0"/>
          <w:color w:val="000000"/>
          <w:sz w:val="21"/>
        </w:rPr>
        <w:t>Protocolo negociado o consultado con la RLT, con acta.</w:t>
      </w:r>
    </w:p>
    <w:p>
      <w:pPr>
        <w:spacing w:after="80"/>
        <w:ind w:left="360"/>
      </w:pPr>
      <w:r>
        <w:rPr>
          <w:rFonts w:ascii="Arial" w:hAnsi="Arial" w:cs="Arial"/>
          <w:b/>
          <w:i w:val="0"/>
          <w:color w:val="000000"/>
          <w:sz w:val="21"/>
        </w:rPr>
        <w:t xml:space="preserve">5. </w:t>
      </w:r>
      <w:r>
        <w:rPr>
          <w:rFonts w:ascii="Georgia" w:hAnsi="Georgia" w:cs="Georgia"/>
          <w:b w:val="0"/>
          <w:i w:val="0"/>
          <w:color w:val="000000"/>
          <w:sz w:val="21"/>
        </w:rPr>
        <w:t>Formación específica de comisiones y mandos, con registro.</w:t>
      </w:r>
    </w:p>
    <w:p>
      <w:pPr>
        <w:spacing w:after="80"/>
        <w:ind w:left="360"/>
      </w:pPr>
      <w:r>
        <w:rPr>
          <w:rFonts w:ascii="Arial" w:hAnsi="Arial" w:cs="Arial"/>
          <w:b/>
          <w:i w:val="0"/>
          <w:color w:val="000000"/>
          <w:sz w:val="21"/>
        </w:rPr>
        <w:t xml:space="preserve">6. </w:t>
      </w:r>
      <w:r>
        <w:rPr>
          <w:rFonts w:ascii="Georgia" w:hAnsi="Georgia" w:cs="Georgia"/>
          <w:b w:val="0"/>
          <w:i w:val="0"/>
          <w:color w:val="000000"/>
          <w:sz w:val="21"/>
        </w:rPr>
        <w:t>Registro de actividades de tratamiento del expediente (RGPD).</w:t>
      </w:r>
    </w:p>
    <w:p>
      <w:pPr>
        <w:spacing w:after="80"/>
        <w:ind w:left="360"/>
      </w:pPr>
      <w:r>
        <w:rPr>
          <w:rFonts w:ascii="Arial" w:hAnsi="Arial" w:cs="Arial"/>
          <w:b/>
          <w:i w:val="0"/>
          <w:color w:val="000000"/>
          <w:sz w:val="21"/>
        </w:rPr>
        <w:t xml:space="preserve">7. </w:t>
      </w:r>
      <w:r>
        <w:rPr>
          <w:rFonts w:ascii="Georgia" w:hAnsi="Georgia" w:cs="Georgia"/>
          <w:b w:val="0"/>
          <w:i w:val="0"/>
          <w:color w:val="000000"/>
          <w:sz w:val="21"/>
        </w:rPr>
        <w:t>Protocolo de grupo con adaptación expresa a cada sociedad y convenio.</w:t>
      </w:r>
    </w:p>
    <w:p>
      <w:pPr>
        <w:spacing w:after="80"/>
        <w:ind w:left="360"/>
      </w:pPr>
      <w:r>
        <w:rPr>
          <w:rFonts w:ascii="Arial" w:hAnsi="Arial" w:cs="Arial"/>
          <w:b/>
          <w:i w:val="0"/>
          <w:color w:val="000000"/>
          <w:sz w:val="21"/>
        </w:rPr>
        <w:t xml:space="preserve">8. </w:t>
      </w:r>
      <w:r>
        <w:rPr>
          <w:rFonts w:ascii="Georgia" w:hAnsi="Georgia" w:cs="Georgia"/>
          <w:b w:val="0"/>
          <w:i w:val="0"/>
          <w:color w:val="000000"/>
          <w:sz w:val="21"/>
        </w:rPr>
        <w:t>Revisión anual con participación de la RLT.</w:t>
      </w:r>
    </w:p>
    <w:sectPr w:rsidR="00FC693F" w:rsidRPr="0006063C" w:rsidSect="00034616">
      <w:headerReference w:type="first" r:id="rId9"/>
      <w:headerReference w:type="default" r:id="rId10"/>
      <w:headerReference w:type="even" r:id="rId11"/>
      <w:pgSz w:w="8640" w:h="12960"/>
      <w:pgMar w:top="1224" w:right="936" w:bottom="1080" w:left="1368" w:header="648" w:footer="576" w:gutter="0"/>
      <w:cols w:space="720"/>
      <w:titlePg/>
      <w:docGrid w:linePitch="360"/>
      <w:mirrorMargins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6336" w:val="right"/>
      </w:tabs>
      <w:spacing w:after="0"/>
      <w:pBdr>
        <w:bottom w:val="single" w:sz="4" w:space="4" w:color="BFBFBF"/>
      </w:pBdr>
    </w:pPr>
    <w:r/>
    <w:r>
      <w:rPr>
        <w:rFonts w:ascii="Arial" w:hAnsi="Arial" w:cs="Arial"/>
        <w:b w:val="0"/>
        <w:i w:val="0"/>
        <w:color w:val="595959"/>
        <w:sz w:val="15"/>
      </w:rPr>
      <w:fldChar w:fldCharType="begin"/>
    </w:r>
    <w:r>
      <w:rPr>
        <w:rFonts w:ascii="Arial" w:hAnsi="Arial" w:cs="Arial"/>
        <w:b w:val="0"/>
        <w:i w:val="0"/>
        <w:color w:val="595959"/>
        <w:sz w:val="15"/>
      </w:rPr>
      <w:instrText xml:space="preserve">PAGE</w:instrText>
    </w:r>
    <w:r>
      <w:rPr>
        <w:rFonts w:ascii="Arial" w:hAnsi="Arial" w:cs="Arial"/>
        <w:b w:val="0"/>
        <w:i w:val="0"/>
        <w:color w:val="595959"/>
        <w:sz w:val="15"/>
      </w:rPr>
      <w:fldChar w:fldCharType="end"/>
    </w:r>
    <w:r>
      <w:tab/>
    </w:r>
    <w:r>
      <w:rPr>
        <w:rFonts w:ascii="Arial" w:hAnsi="Arial" w:cs="Arial"/>
        <w:b w:val="0"/>
        <w:i w:val="0"/>
        <w:color w:val="595959"/>
        <w:sz w:val="15"/>
      </w:rPr>
      <w:t>ACOSO LABORAL EN LA EMPRESA PRIVADA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6336" w:val="right"/>
      </w:tabs>
      <w:spacing w:after="0"/>
      <w:pBdr>
        <w:bottom w:val="single" w:sz="4" w:space="4" w:color="BFBFBF"/>
      </w:pBdr>
    </w:pPr>
    <w:r/>
    <w:r>
      <w:rPr>
        <w:rFonts w:ascii="Arial" w:hAnsi="Arial" w:cs="Arial"/>
        <w:b w:val="0"/>
        <w:i w:val="0"/>
        <w:color w:val="595959"/>
        <w:sz w:val="15"/>
      </w:rPr>
      <w:t>ACOSO LABORAL EN LA EMPRESA PRIVADA</w:t>
    </w:r>
    <w:r>
      <w:tab/>
    </w:r>
    <w:r>
      <w:rPr>
        <w:rFonts w:ascii="Arial" w:hAnsi="Arial" w:cs="Arial"/>
        <w:b w:val="0"/>
        <w:i w:val="0"/>
        <w:color w:val="595959"/>
        <w:sz w:val="15"/>
      </w:rPr>
      <w:fldChar w:fldCharType="begin"/>
    </w:r>
    <w:r>
      <w:rPr>
        <w:rFonts w:ascii="Arial" w:hAnsi="Arial" w:cs="Arial"/>
        <w:b w:val="0"/>
        <w:i w:val="0"/>
        <w:color w:val="595959"/>
        <w:sz w:val="15"/>
      </w:rPr>
      <w:instrText xml:space="preserve">PAGE</w:instrText>
    </w:r>
    <w:r>
      <w:rPr>
        <w:rFonts w:ascii="Arial" w:hAnsi="Arial" w:cs="Arial"/>
        <w:b w:val="0"/>
        <w:i w:val="0"/>
        <w:color w:val="595959"/>
        <w:sz w:val="15"/>
      </w:rP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venAndOddHeaders/>
  <w:autoHyphenation w:val="true"/>
  <w:hyphenationZone w:val="6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8" w:lineRule="auto"/>
      <w:jc w:val="both"/>
    </w:pPr>
    <w:rPr>
      <w:rFonts w:ascii="Georgia" w:hAnsi="Georgia"/>
      <w:sz w:val="21"/>
      <w:lang w:val="es-E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Definitiva contra el Acoso Laboral en la Empresa Privada — ANEXO B · PROTOCOLO — GRAN EMPRESA / GRUPO</dc:title>
  <dc:subject>Acoso laboral en la empresa privada</dc:subject>
  <dc:creator>E. J. López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es-ES</dc:language>
</cp:coreProperties>
</file>