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cs="Arial"/>
          <w:b/>
          <w:i w:val="0"/>
          <w:color w:val="000000"/>
          <w:sz w:val="22"/>
        </w:rPr>
        <w:t>ANEXO E</w:t>
      </w:r>
    </w:p>
    <w:p>
      <w:pPr>
        <w:spacing w:after="320"/>
        <w:keepNext/>
        <w:pBdr>
          <w:bottom w:val="single" w:sz="8" w:space="4" w:color="000000"/>
        </w:pBdr>
      </w:pPr>
      <w:r>
        <w:rPr>
          <w:rFonts w:ascii="Arial" w:hAnsi="Arial" w:cs="Arial"/>
          <w:b/>
          <w:i w:val="0"/>
          <w:color w:val="000000"/>
          <w:sz w:val="33"/>
        </w:rPr>
        <w:t>GUIONES DE ENTREVISTA DE LA COMISIÓN INSTRUCTORA Y DE MEDIACIÓN</w:t>
      </w:r>
    </w:p>
    <w:p>
      <w:r>
        <w:rPr>
          <w:rFonts w:ascii="Georgia" w:hAnsi="Georgia" w:cs="Georgia"/>
          <w:b w:val="0"/>
          <w:i w:val="0"/>
          <w:color w:val="000000"/>
          <w:sz w:val="21"/>
        </w:rPr>
        <w:t>Dos guiones operativos para dos momentos distintos. El primero, para instruir un expediente con garantías. El segundo, para mediar en conflictos simétricos —nunca en casos con indicios de acoso—. Las plantillas editables están disponibles mediante el enlace al repositorio al final del libro.</w:t>
      </w:r>
    </w:p>
    <w:p>
      <w:pPr>
        <w:spacing w:before="240" w:after="120"/>
        <w:keepNext/>
      </w:pPr>
      <w:r>
        <w:rPr>
          <w:rFonts w:ascii="Arial" w:hAnsi="Arial" w:cs="Arial"/>
          <w:b/>
          <w:i w:val="0"/>
          <w:color w:val="000000"/>
          <w:sz w:val="24"/>
        </w:rPr>
        <w:t>E.1. Guion de entrevista de la comisión instructora</w:t>
      </w:r>
    </w:p>
    <w:p>
      <w:r>
        <w:rPr>
          <w:rFonts w:ascii="Georgia" w:hAnsi="Georgia" w:cs="Georgia"/>
          <w:b/>
          <w:i w:val="0"/>
          <w:color w:val="000000"/>
          <w:sz w:val="21"/>
        </w:rPr>
        <w:t>Antes de la entrevista.</w:t>
      </w:r>
      <w:r>
        <w:rPr>
          <w:rFonts w:ascii="Georgia" w:hAnsi="Georgia" w:cs="Georgia"/>
          <w:b w:val="0"/>
          <w:i w:val="0"/>
          <w:color w:val="000000"/>
          <w:sz w:val="21"/>
        </w:rPr>
        <w:t xml:space="preserve"> Convocatoria escrita con 48 horas de antelación, indicación del objeto, derecho de acompañamiento y advertencia de confidencialidad. Sala privada. Acta preparada para firmar al final.</w:t>
      </w:r>
    </w:p>
    <w:p>
      <w:r>
        <w:rPr>
          <w:rFonts w:ascii="Georgia" w:hAnsi="Georgia" w:cs="Georgia"/>
          <w:b/>
          <w:i w:val="0"/>
          <w:color w:val="000000"/>
          <w:sz w:val="21"/>
        </w:rPr>
        <w:t>Apertura (5 minutos).</w:t>
      </w:r>
      <w:r>
        <w:rPr>
          <w:rFonts w:ascii="Georgia" w:hAnsi="Georgia" w:cs="Georgia"/>
          <w:b w:val="0"/>
          <w:i w:val="0"/>
          <w:color w:val="000000"/>
          <w:sz w:val="21"/>
        </w:rPr>
        <w:t xml:space="preserve"> Presentación de los miembros. Explicación del papel de la comisión: imparcial, confidencial, sin capacidad sancionadora directa —informa y propone—. Advertencia del deber de veracidad y de la confidencialidad, con sus consecuencias.</w:t>
      </w:r>
    </w:p>
    <w:p>
      <w:r>
        <w:rPr>
          <w:rFonts w:ascii="Georgia" w:hAnsi="Georgia" w:cs="Georgia"/>
          <w:b/>
          <w:i w:val="0"/>
          <w:color w:val="000000"/>
          <w:sz w:val="21"/>
        </w:rPr>
        <w:t>Relato libre (15 minutos).</w:t>
      </w:r>
      <w:r>
        <w:rPr>
          <w:rFonts w:ascii="Georgia" w:hAnsi="Georgia" w:cs="Georgia"/>
          <w:b w:val="0"/>
          <w:i w:val="0"/>
          <w:color w:val="000000"/>
          <w:sz w:val="21"/>
        </w:rPr>
        <w:t xml:space="preserve"> «Cuéntenos lo ocurrido desde su punto de vista, con todos los detalles que considere relevantes.» No interrumpir. Anotar. Marcar las lagunas para la fase siguiente.</w:t>
      </w:r>
    </w:p>
    <w:p>
      <w:r>
        <w:rPr>
          <w:rFonts w:ascii="Georgia" w:hAnsi="Georgia" w:cs="Georgia"/>
          <w:b w:val="0"/>
          <w:i/>
          <w:color w:val="000000"/>
          <w:sz w:val="21"/>
        </w:rPr>
        <w:t>Preguntas de contraste (30 minutos).</w:t>
      </w:r>
    </w:p>
    <w:p>
      <w:r>
        <w:rPr>
          <w:rFonts w:ascii="Georgia" w:hAnsi="Georgia" w:cs="Georgia"/>
          <w:b w:val="0"/>
          <w:i w:val="0"/>
          <w:color w:val="000000"/>
          <w:sz w:val="21"/>
        </w:rPr>
        <w:t>- Fechas: «¿Cuándo empezó? ¿Con qué frecuencia se repite? ¿Cuál fue el último episodio?»</w:t>
      </w:r>
    </w:p>
    <w:p>
      <w:r>
        <w:rPr>
          <w:rFonts w:ascii="Georgia" w:hAnsi="Georgia" w:cs="Georgia"/>
          <w:b w:val="0"/>
          <w:i w:val="0"/>
          <w:color w:val="000000"/>
          <w:sz w:val="21"/>
        </w:rPr>
        <w:t>- Lugares y testigos: «¿Dónde ocurrió? ¿Quién estaba presente? ¿Quién más lo sabe?»</w:t>
      </w:r>
    </w:p>
    <w:p>
      <w:r>
        <w:rPr>
          <w:rFonts w:ascii="Georgia" w:hAnsi="Georgia" w:cs="Georgia"/>
          <w:b w:val="0"/>
          <w:i w:val="0"/>
          <w:color w:val="000000"/>
          <w:sz w:val="21"/>
        </w:rPr>
        <w:t>- Contenido: «¿Qué se dijo exactamente? ¿Qué hizo usted después?»</w:t>
      </w:r>
    </w:p>
    <w:p>
      <w:r>
        <w:rPr>
          <w:rFonts w:ascii="Georgia" w:hAnsi="Georgia" w:cs="Georgia"/>
          <w:b w:val="0"/>
          <w:i w:val="0"/>
          <w:color w:val="000000"/>
          <w:sz w:val="21"/>
        </w:rPr>
        <w:t>- Documentos: «¿Qué correos, mensajes o escritos lo respaldan? ¿Los aporta?»</w:t>
      </w:r>
    </w:p>
    <w:p>
      <w:r>
        <w:rPr>
          <w:rFonts w:ascii="Georgia" w:hAnsi="Georgia" w:cs="Georgia"/>
          <w:b w:val="0"/>
          <w:i w:val="0"/>
          <w:color w:val="000000"/>
          <w:sz w:val="21"/>
        </w:rPr>
        <w:t>- Contexto: «¿Había ocurrido algo antes? ¿Alguna reclamación, sanción, cambio?»</w:t>
      </w:r>
    </w:p>
    <w:p>
      <w:r>
        <w:rPr>
          <w:rFonts w:ascii="Georgia" w:hAnsi="Georgia" w:cs="Georgia"/>
          <w:b w:val="0"/>
          <w:i w:val="0"/>
          <w:color w:val="000000"/>
          <w:sz w:val="21"/>
        </w:rPr>
        <w:t>- Impacto: «¿Cómo le está afectando? ¿Hay partes médicos?»</w:t>
      </w:r>
    </w:p>
    <w:p>
      <w:r>
        <w:rPr>
          <w:rFonts w:ascii="Georgia" w:hAnsi="Georgia" w:cs="Georgia"/>
          <w:b w:val="0"/>
          <w:i w:val="0"/>
          <w:color w:val="000000"/>
          <w:sz w:val="21"/>
        </w:rPr>
        <w:t>- Expectativas: «¿Qué espera de este procedimiento?»</w:t>
      </w:r>
    </w:p>
    <w:p>
      <w:r>
        <w:rPr>
          <w:rFonts w:ascii="Georgia" w:hAnsi="Georgia" w:cs="Georgia"/>
          <w:b/>
          <w:i w:val="0"/>
          <w:color w:val="000000"/>
          <w:sz w:val="21"/>
        </w:rPr>
        <w:t>Cierre (10 minutos).</w:t>
      </w:r>
      <w:r>
        <w:rPr>
          <w:rFonts w:ascii="Georgia" w:hAnsi="Georgia" w:cs="Georgia"/>
          <w:b w:val="0"/>
          <w:i w:val="0"/>
          <w:color w:val="000000"/>
          <w:sz w:val="21"/>
        </w:rPr>
        <w:t xml:space="preserve"> Lectura del acta. Firmas. Plazos: «Le comunicaremos la resolución por escrito en el plazo previsto.» Compromiso de confidencialidad mutuo. Información sobre medidas cautelares disponibles.</w:t>
      </w:r>
    </w:p>
    <w:p>
      <w:r>
        <w:rPr>
          <w:rFonts w:ascii="Georgia" w:hAnsi="Georgia" w:cs="Georgia"/>
          <w:b/>
          <w:i w:val="0"/>
          <w:color w:val="000000"/>
          <w:sz w:val="21"/>
        </w:rPr>
        <w:t>Reglas de trinchera.</w:t>
      </w:r>
      <w:r>
        <w:rPr>
          <w:rFonts w:ascii="Georgia" w:hAnsi="Georgia" w:cs="Georgia"/>
          <w:b w:val="0"/>
          <w:i w:val="0"/>
          <w:color w:val="000000"/>
          <w:sz w:val="21"/>
        </w:rPr>
        <w:t xml:space="preserve"> Una entrevista por persona, por separado, el mismo día si es posible para evitar versiones cruzadas. Prohibido prometer resultados («esto se arregla»: no se puede prometer). Prohibido sugerir respuestas. Todo lo relevante, al acta; lo irrelevante, fuera del expediente.</w:t>
      </w:r>
    </w:p>
    <w:p>
      <w:pPr>
        <w:spacing w:before="240" w:after="120"/>
        <w:keepNext/>
      </w:pPr>
      <w:r>
        <w:rPr>
          <w:rFonts w:ascii="Arial" w:hAnsi="Arial" w:cs="Arial"/>
          <w:b/>
          <w:i w:val="0"/>
          <w:color w:val="000000"/>
          <w:sz w:val="24"/>
        </w:rPr>
        <w:t>E.2. Guion de sesión de mediación (solo conflictos sin indicios de acoso)</w:t>
      </w:r>
    </w:p>
    <w:p>
      <w:r>
        <w:rPr>
          <w:rFonts w:ascii="Georgia" w:hAnsi="Georgia" w:cs="Georgia"/>
          <w:b/>
          <w:i w:val="0"/>
          <w:color w:val="000000"/>
          <w:sz w:val="21"/>
        </w:rPr>
        <w:t>Condiciones previas.</w:t>
      </w:r>
      <w:r>
        <w:rPr>
          <w:rFonts w:ascii="Georgia" w:hAnsi="Georgia" w:cs="Georgia"/>
          <w:b w:val="0"/>
          <w:i w:val="0"/>
          <w:color w:val="000000"/>
          <w:sz w:val="21"/>
        </w:rPr>
        <w:t xml:space="preserve"> Conflicto simétrico. Ambas partes aceptan voluntariamente. Sin indicios de acoso (reiteración, humillación, asimetría de poder). Si surge cualquiera de estos indicios durante la sesión, se suspende y se deriva al protocolo.</w:t>
      </w:r>
    </w:p>
    <w:p>
      <w:r>
        <w:rPr>
          <w:rFonts w:ascii="Georgia" w:hAnsi="Georgia" w:cs="Georgia"/>
          <w:b/>
          <w:i w:val="0"/>
          <w:color w:val="000000"/>
          <w:sz w:val="21"/>
        </w:rPr>
        <w:t>Apertura (10 minutos).</w:t>
      </w:r>
      <w:r>
        <w:rPr>
          <w:rFonts w:ascii="Georgia" w:hAnsi="Georgia" w:cs="Georgia"/>
          <w:b w:val="0"/>
          <w:i w:val="0"/>
          <w:color w:val="000000"/>
          <w:sz w:val="21"/>
        </w:rPr>
        <w:t xml:space="preserve"> Reglas: confidencialidad, turnos, respeto, voluntariedad —cualquiera puede levantarse y terminar—. El papel del mediador: no decide, ayuda a acordar.</w:t>
      </w:r>
    </w:p>
    <w:p>
      <w:r>
        <w:rPr>
          <w:rFonts w:ascii="Georgia" w:hAnsi="Georgia" w:cs="Georgia"/>
          <w:b/>
          <w:i w:val="0"/>
          <w:color w:val="000000"/>
          <w:sz w:val="21"/>
        </w:rPr>
        <w:t>Turno de cada parte (20 minutos).</w:t>
      </w:r>
      <w:r>
        <w:rPr>
          <w:rFonts w:ascii="Georgia" w:hAnsi="Georgia" w:cs="Georgia"/>
          <w:b w:val="0"/>
          <w:i w:val="0"/>
          <w:color w:val="000000"/>
          <w:sz w:val="21"/>
        </w:rPr>
        <w:t xml:space="preserve"> Cada parte expone su versión sin interrupciones. El mediador reformula en términos de hechos e intereses: «si entiendo bien, lo que necesitas es...»</w:t>
      </w:r>
    </w:p>
    <w:p>
      <w:r>
        <w:rPr>
          <w:rFonts w:ascii="Georgia" w:hAnsi="Georgia" w:cs="Georgia"/>
          <w:b/>
          <w:i w:val="0"/>
          <w:color w:val="000000"/>
          <w:sz w:val="21"/>
        </w:rPr>
        <w:t>Exploración (20 minutos).</w:t>
      </w:r>
      <w:r>
        <w:rPr>
          <w:rFonts w:ascii="Georgia" w:hAnsi="Georgia" w:cs="Georgia"/>
          <w:b w:val="0"/>
          <w:i w:val="0"/>
          <w:color w:val="000000"/>
          <w:sz w:val="21"/>
        </w:rPr>
        <w:t xml:space="preserve"> Preguntas de apertura: «¿Qué solución os acercaría a los dos? ¿Qué estaríais dispuestos a cambiar cada uno? ¿Qué pasaría si esto no se resuelve?»</w:t>
      </w:r>
    </w:p>
    <w:p>
      <w:r>
        <w:rPr>
          <w:rFonts w:ascii="Georgia" w:hAnsi="Georgia" w:cs="Georgia"/>
          <w:b/>
          <w:i w:val="0"/>
          <w:color w:val="000000"/>
          <w:sz w:val="21"/>
        </w:rPr>
        <w:t>Acuerdo (15 minutos).</w:t>
      </w:r>
      <w:r>
        <w:rPr>
          <w:rFonts w:ascii="Georgia" w:hAnsi="Georgia" w:cs="Georgia"/>
          <w:b w:val="0"/>
          <w:i w:val="0"/>
          <w:color w:val="000000"/>
          <w:sz w:val="21"/>
        </w:rPr>
        <w:t xml:space="preserve"> Redacción conjunta del acuerdo: compromisos concretos, fechas, indicadores. Firma de las partes y del mediador. Fecha de seguimiento a 30 días.</w:t>
      </w:r>
    </w:p>
    <w:p>
      <w:r>
        <w:rPr>
          <w:rFonts w:ascii="Georgia" w:hAnsi="Georgia" w:cs="Georgia"/>
          <w:b/>
          <w:i w:val="0"/>
          <w:color w:val="000000"/>
          <w:sz w:val="21"/>
        </w:rPr>
        <w:t>Seguimiento (30 días).</w:t>
      </w:r>
      <w:r>
        <w:rPr>
          <w:rFonts w:ascii="Georgia" w:hAnsi="Georgia" w:cs="Georgia"/>
          <w:b w:val="0"/>
          <w:i w:val="0"/>
          <w:color w:val="000000"/>
          <w:sz w:val="21"/>
        </w:rPr>
        <w:t xml:space="preserve"> Sesión breve de revisión del cumplimiento. Si no se cumple, se reabre el proceso o se escala.</w:t>
      </w:r>
    </w:p>
    <w:p>
      <w:r>
        <w:rPr>
          <w:rFonts w:ascii="Georgia" w:hAnsi="Georgia" w:cs="Georgia"/>
          <w:b/>
          <w:i w:val="0"/>
          <w:color w:val="000000"/>
          <w:sz w:val="21"/>
        </w:rPr>
        <w:t>Reglas de trinchera.</w:t>
      </w:r>
      <w:r>
        <w:rPr>
          <w:rFonts w:ascii="Georgia" w:hAnsi="Georgia" w:cs="Georgia"/>
          <w:b w:val="0"/>
          <w:i w:val="0"/>
          <w:color w:val="000000"/>
          <w:sz w:val="21"/>
        </w:rPr>
        <w:t xml:space="preserve"> El mediador no es juez ni terapeuta. No media quien tiene relación jerárquica con las partes. Y la regla de oro: ante la menor señal de acoso, la mediación se detiene. Mediar un acoso es revictimizar.</w:t>
      </w:r>
    </w:p>
    <w:sectPr w:rsidR="00FC693F" w:rsidRPr="0006063C" w:rsidSect="00034616">
      <w:headerReference w:type="first" r:id="rId9"/>
      <w:headerReference w:type="default" r:id="rId10"/>
      <w:headerReference w:type="even" r:id="rId11"/>
      <w:pgSz w:w="8640" w:h="12960"/>
      <w:pgMar w:top="1224" w:right="936" w:bottom="1080" w:left="1368" w:header="648" w:footer="576"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36" w:val="right"/>
      </w:tabs>
      <w:spacing w:after="0"/>
      <w:pBdr>
        <w:bottom w:val="single" w:sz="4" w:space="4" w:color="BFBFBF"/>
      </w:pBdr>
    </w:pPr>
    <w:r/>
    <w:r>
      <w:rPr>
        <w:rFonts w:ascii="Arial" w:hAnsi="Arial" w:cs="Arial"/>
        <w:b w:val="0"/>
        <w:i w:val="0"/>
        <w:color w:val="595959"/>
        <w:sz w:val="15"/>
      </w:rPr>
      <w:fldChar w:fldCharType="begin"/>
    </w:r>
    <w:r>
      <w:rPr>
        <w:rFonts w:ascii="Arial" w:hAnsi="Arial" w:cs="Arial"/>
        <w:b w:val="0"/>
        <w:i w:val="0"/>
        <w:color w:val="595959"/>
        <w:sz w:val="15"/>
      </w:rPr>
      <w:instrText xml:space="preserve">PAGE</w:instrText>
    </w:r>
    <w:r>
      <w:rPr>
        <w:rFonts w:ascii="Arial" w:hAnsi="Arial" w:cs="Arial"/>
        <w:b w:val="0"/>
        <w:i w:val="0"/>
        <w:color w:val="595959"/>
        <w:sz w:val="15"/>
      </w:rPr>
      <w:fldChar w:fldCharType="end"/>
    </w:r>
    <w:r>
      <w:tab/>
    </w:r>
    <w:r>
      <w:rPr>
        <w:rFonts w:ascii="Arial" w:hAnsi="Arial" w:cs="Arial"/>
        <w:b w:val="0"/>
        <w:i w:val="0"/>
        <w:color w:val="595959"/>
        <w:sz w:val="15"/>
      </w:rPr>
      <w:t>ACOSO LABORAL EN LA EMPRESA PRIVADA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36" w:val="right"/>
      </w:tabs>
      <w:spacing w:after="0"/>
      <w:pBdr>
        <w:bottom w:val="single" w:sz="4" w:space="4" w:color="BFBFBF"/>
      </w:pBdr>
    </w:pPr>
    <w:r/>
    <w:r>
      <w:rPr>
        <w:rFonts w:ascii="Arial" w:hAnsi="Arial" w:cs="Arial"/>
        <w:b w:val="0"/>
        <w:i w:val="0"/>
        <w:color w:val="595959"/>
        <w:sz w:val="15"/>
      </w:rPr>
      <w:t>ACOSO LABORAL EN LA EMPRESA PRIVADA</w:t>
    </w:r>
    <w:r>
      <w:tab/>
    </w:r>
    <w:r>
      <w:rPr>
        <w:rFonts w:ascii="Arial" w:hAnsi="Arial" w:cs="Arial"/>
        <w:b w:val="0"/>
        <w:i w:val="0"/>
        <w:color w:val="595959"/>
        <w:sz w:val="15"/>
      </w:rPr>
      <w:fldChar w:fldCharType="begin"/>
    </w:r>
    <w:r>
      <w:rPr>
        <w:rFonts w:ascii="Arial" w:hAnsi="Arial" w:cs="Arial"/>
        <w:b w:val="0"/>
        <w:i w:val="0"/>
        <w:color w:val="595959"/>
        <w:sz w:val="15"/>
      </w:rPr>
      <w:instrText xml:space="preserve">PAGE</w:instrText>
    </w:r>
    <w:r>
      <w:rPr>
        <w:rFonts w:ascii="Arial" w:hAnsi="Arial" w:cs="Arial"/>
        <w:b w:val="0"/>
        <w:i w:val="0"/>
        <w:color w:val="595959"/>
        <w:sz w:val="15"/>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autoHyphenation w:val="true"/>
  <w:hyphenationZone w:val="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jc w:val="both"/>
    </w:pPr>
    <w:rPr>
      <w:rFonts w:ascii="Georgia" w:hAnsi="Georgia"/>
      <w:sz w:val="21"/>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Definitiva contra el Acoso Laboral en la Empresa Privada — ANEXO E · GUIONES DE ENTREVISTA Y MEDIACIÓN</dc:title>
  <dc:subject>Acoso laboral en la empresa privada</dc:subject>
  <dc:creator>E. J. López</dc:creator>
  <cp:keywords/>
  <dc:description>generated by python-docx</dc:description>
  <cp:lastModifiedBy/>
  <cp:revision>1</cp:revision>
  <dcterms:created xsi:type="dcterms:W3CDTF">2013-12-23T23:15:00Z</dcterms:created>
  <dcterms:modified xsi:type="dcterms:W3CDTF">2013-12-23T23:15:00Z</dcterms:modified>
  <cp:category/>
  <dc:language>es-ES</dc:language>
</cp:coreProperties>
</file>