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J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GLOSARIO JURÍDICO-LABORAL ESENCIAL (62 TÉRMINOS)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Definiciones operativas, pensadas para leer en una sentencia o en un acta de la Inspección sin perderse. No sustituyen a un diccionario jurídico: lo complementan con el vocabulario que de verdad aparece en los pleitos de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ascendente.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Hostigamiento dirigido de subordinados hacia un superior, típico ante mandos recién incorporados.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discriminatorio.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Conducta hostigadora motivada por una causa protegida (origen, orientación, discapacidad, edad, religión…), en los términos de la Ley 15/2022.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horizontal.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Hostigamiento entre personas del mismo nivel jerárquico.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laboral (mobbing).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Trato vejatorio, humillante u hostil, reiterado y sistemático, contra la dignidad de la persona, en el marco del trabajo.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por razón de sexo.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Conducta no deseada vinculada al sexo de la persona, con el propósito o efecto de atentar contra su dignidad.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Acoso sexual.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Comportamiento de naturaleza sexual, no deseado, que atenta contra la dignidad o crea un entorno intimidatorio. No exige reiteración.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Anonimato.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Derecho a denunciar sin revelar la identidad; el canal interno debe admitirlo (Ley 2/2023).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20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Poder de dirección y organización del empresario; límite del acoso y escudo de la gestión legítima.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50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Extinción del contrato a instancia del trabajador por incumplimiento grave del empresario, con indemnización de improcedente.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55.5 ET.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Nulidad del despido cuando tenga por móvil la vulneración de derechos fundamentales: readmisión obligatoria.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31 bis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Responsabilidad penal de la persona jurídica solo en los delitos expresamente previstos y si concurren los requisitos legales. La eficacia de un modelo de organización y gestión puede producir efectos eximentes o atenuantes únicamente en los términos y condiciones del Código Penal; la mera existencia documental no garantiza la exoneración.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173.1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Delito de trato degradante contra la integridad moral, incluido el ámbito laboral.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184 CP.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Delito de acoso sexual. El apartado 5 prevé expresamente responsabilidad penal de la persona jurídica conforme al artículo 31 bis, con multa de seis meses a dos años y posible imposición de otras penas en los términos de los artículos 33.7 y 66 bis.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164 LGSS.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Recargo de prestaciones (30-50 %) a cargo del empresario cuando la contingencia deriva de falta de medidas de seguridad.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181.2 LRJS.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Inversión de la carga de la prueba en tutela de derechos fundamentales: ante indicios, la empresa debe justificarse.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Bossing.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Término usado para describir el hostigamiento descendente, de un superior hacia una persona subordinada.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Burnout.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Síndrome de agotamiento por estrés laboral crónico (CIE-11): agotamiento, distanciamiento y baja eficacia. No exige un acosador.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Caducidad.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Plazo no interrumpible para ejercitar una acción; en el despido, 20 días hábiles.</w:t>
      </w:r>
    </w:p>
    <w:p>
      <w:r>
        <w:rPr>
          <w:rFonts w:ascii="Georgia" w:hAnsi="Georgia" w:cs="Georgia"/>
          <w:b/>
          <w:sz w:val="21"/>
        </w:rPr>
        <w:t xml:space="preserve">Canal/Sistema interno de información.</w:t>
      </w:r>
      <w:r>
        <w:rPr>
          <w:rFonts w:ascii="Georgia" w:hAnsi="Georgia" w:cs="Georgia"/>
          <w:b w:val="0"/>
          <w:sz w:val="21"/>
        </w:rPr>
        <w:t xml:space="preserve"> Mecanismo regulado por la Ley 2/2023 para comunicar infracciones dentro de su ámbito material. Como regla general, las empresas privadas con 50 o más trabajadores deben disponer de él, sin perjuicio de otros sujetos obligados. No toda queja de acoso queda automáticamente comprendida en la ley.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Carga de la prueba.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Regla que asigna a quién corresponde probar cada hecho; en tutela de derechos fundamentales se invierte ante indicios.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Comisión instructora.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Órgano del protocolo que investiga las denuncias de acoso con imparcialidad y confidencialidad.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Compliance.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Sistema de organización y gestión que previene delitos en la empresa; su eficacia es la llave del artículo 31 bis CP.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Conciliación previa.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Trámite previo a la demanda social cuando la ley lo exige. Existen modalidades procesales y supuestos exentos; debe comprobarse la regla aplicable a la acción concreta.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Convenio colectivo.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Norma pactada que regula las condiciones de trabajo y el régimen disciplinario aplicable.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Convenio 190 OIT.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Convenio sobre violencia y acoso en el mundo del trabajo. Adhesión de España publicada en el BOE el 16/06/2022; en vigor para España desde el 25/05/2023. Estándar integral de prevención con dimensión de género.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Criterio Técnico 104/2021.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Material de orientación técnica de la ITSS sobre actuaciones inspectoras en riesgos psicosociales; no es una norma con rango de ley.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Cuadro indiciario.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Conjunto de datos que apuntan a una vulneración de derechos fundamentales; su aportación desplaza la carga de la prueba.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Daño moral.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Perjuicio no patrimonial (sufrimiento, dignidad, reputación); se cuantifica con criterios prudenciales.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Denuncia interna.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Comunicación formal de hechos ante la empresa (canal o comisión) que activa la investigación.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Despido nulo.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que vulnera derechos fundamentales o se produce con móvil discriminatorio; readmisión y daño moral.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Despido procedente.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El que acredita causa real, grave y culpable, con cumplimiento de los requisitos formales.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Diario de incidentes.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Registro fechado y sistemático de los episodios de acoso; pieza clave del cuadro indiciario.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Evaluación de riesgos psicosociales.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Análisis obligatorio de los factores organizativos y relacionales que pueden dañar la salud (Ley 31/1995).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Indicios.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Señales razonables de la vulneración; no exigen prueba plena, pero deben ser verificables.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Informante.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Persona que comunica infracciones por el canal interno; protegida frente a represalias (Ley 2/2023).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Inspección de Trabajo (ITSS).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Organismo que comprueba el cumplimiento laboral y de prevención; emite requerimientos, sanciones e informes.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2/2023.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reguladora de la protección de las personas que informen sobre infracciones normativas (canal de denuncias).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15/2022.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integral de igualdad de trato y no discriminación; define el acoso discriminatorio y lo sanciona como infracción muy grave.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Ley 31/1995 (LPRL).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Prevención de Riesgos Laborales: deber de seguridad del empresario, incluidos los riesgos psicosociales.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LISOS.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Infracciones y Sanciones en el Orden Social. El art. 8.13 tipifica como muy grave el acoso sexual en el ámbito de dirección empresarial; el 8.13 bis, el acoso por razón de sexo y el discriminatorio, cuando la empresa, conociéndolo, no adopta las medidas necesarias para impedirlo. Cuantías según el art. 40 vigente.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LO 3/2007.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igualdad efectiva. El art. 7 define el acoso sexual y por razón de sexo; el art. 48 recoge medidas preventivas en el trabajo; el art. 9 regula la indemnidad frente a represalias en su ámbito.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LO 10/2022.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Ley de garantía integral de la libertad sexual; refuerza los tipos penales contra la libertad sexual.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Mediación.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Procedimiento voluntario de resolución de conflictos simétricos; contraindicada ante indicios de acoso.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Medidas cautelares.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Medidas provisionales de protección durante la instrucción (cambio de turno, teletrabajo), sin prejuzgar.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Mobbing.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Término usado para describir el hostigamiento psicológico reiterado en el trabajo. No toda conducta laboral conflictiva ni toda modalidad legal de acoso coincide necesariamente con esta descripción.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Papeleta de conciliación.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Escrito que inicia la conciliación previa; su presentación suspende la caducidad del despido.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Pericial psicológica.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Informe técnico sobre el daño psíquico y su nexo con los hechos; no «certifica acoso».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Persona jurídica.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sociedad; puede responder penalmente (art. 31 bis CP) y administrativamente.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Plan de igualdad.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Conjunto ordenado de medidas de igualdad; con carácter general, es obligatorio para las empresas de 50 o más personas trabajadoras, sin perjuicio de otros supuestos legales o convencionales. Las medidas frente al acoso sexual y por razón de sexo obligan a todas las empresas conforme a su normativa específica, con independencia de que estén obligadas a tener plan de igualdad.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Prescripción.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Extinción de una acción por el transcurso del plazo legal aplicable. Su plazo y su cómputo dependen de la acción ejercitada, de su fundamento y de las reglas de interrupción aplicables; a diferencia de la caducidad, puede interrumpirse.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Prueba ilícita.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Prueba obtenida vulnerando derechos fundamentales; no surte efecto (art. 90.2 LRJS; art. 11.1 LOPJ).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Protección de datos (RGPD/LO 3/2018).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Régimen que limita el tratamiento de datos personales, especialmente los de salud, en los expedientes.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Protocolo de acoso.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Procedimiento interno de prevención e investigación del acoso. Herramienta esencial derivada de los deberes preventivos (LPRL y LO 3/2007); su ausencia no es por sí sola una infracción automática.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Recargo de prestaciones.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Incremento del 30-50 % de las prestaciones a cargo del empresario incumplidor (art. 164 LGSS).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Readmisión.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Reincorporación obligatoria del trabajador cuando el despido es nulo.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Régimen disciplinario.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Cuadro de faltas y sanciones del convenio colectivo, aplicable al acosador tras la instrucción.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Represalias.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Actos perjudiciales relacionados con una comunicación protegida. La Ley 2/2023 prohíbe las represalias en su ámbito material y personal; pueden concurrir además otras protecciones laborales, antidiscriminatorias o de derechos fundamentales. No toda queja interna entra automáticamente en la Ley 2/2023.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Riesgo psicosocial.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Factor de riesgo vinculado a la organización y las relaciones de trabajo (carga, trato, conflicto, acoso).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RLT.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Representación legal de los trabajadores (delegados, comité); participa en la negociación del plan de igualdad.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Salarios de tramitación.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Salarios desde el despido hasta la sentencia de nulidad o la readmisión.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STC 114/1984.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Grabada por quien participa en la conversación, no se vulnera por ese solo hecho el secreto de las comunicaciones; la admisión y el valor de la prueba dependen del contexto, la intimidad y el uso.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Tutela de derechos fundamentales.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Modalidad procesal (arts. 177 y ss. LRJS) con preferencia y urgencia, inversión de la carga y reparación integral.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J · GLOSARIO JURÍDICO-LABORAL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