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cs="Arial"/>
          <w:b/>
          <w:i w:val="0"/>
          <w:color w:val="000000"/>
          <w:sz w:val="22"/>
        </w:rPr>
        <w:t>ANEXO L</w:t>
      </w:r>
    </w:p>
    <w:p>
      <w:pPr>
        <w:spacing w:after="320"/>
        <w:keepNext/>
        <w:pBdr>
          <w:bottom w:val="single" w:sz="8" w:space="4" w:color="000000"/>
        </w:pBdr>
      </w:pPr>
      <w:r>
        <w:rPr>
          <w:rFonts w:ascii="Arial" w:hAnsi="Arial" w:cs="Arial"/>
          <w:b/>
          <w:i w:val="0"/>
          <w:color w:val="000000"/>
          <w:sz w:val="33"/>
        </w:rPr>
        <w:t>PREGUNTAS FRECUENTES DE TRINCHERA (20)</w:t>
      </w:r>
    </w:p>
    <w:p>
      <w:r>
        <w:rPr>
          <w:rFonts w:ascii="Georgia" w:hAnsi="Georgia" w:cs="Georgia"/>
          <w:b w:val="0"/>
          <w:i w:val="0"/>
          <w:color w:val="000000"/>
          <w:sz w:val="21"/>
        </w:rPr>
        <w:t>Las veinte preguntas que más se repiten en consultas, formaciones y pasillos de empresas. Respuestas cortas, de trinchera, con remisión al capítulo que las desarrolla.</w:t>
      </w:r>
    </w:p>
    <w:p>
      <w:r>
        <w:rPr>
          <w:rFonts w:ascii="Georgia" w:hAnsi="Georgia" w:cs="Georgia"/>
          <w:b w:val="0"/>
          <w:i/>
          <w:color w:val="000000"/>
          <w:sz w:val="21"/>
        </w:rPr>
        <w:t>1. ¿A partir de cuántos episodios hay acoso laboral?</w:t>
      </w:r>
    </w:p>
    <w:p>
      <w:r>
        <w:rPr>
          <w:rFonts w:ascii="Georgia" w:hAnsi="Georgia" w:cs="Georgia"/>
          <w:b w:val="0"/>
          <w:i w:val="0"/>
          <w:color w:val="000000"/>
          <w:sz w:val="21"/>
        </w:rPr>
        <w:t>No hay un número legal mínimo ni un plazo fijo. El patrón, la gravedad, el contexto y la modalidad jurídica importan. Un episodio aislado puede no encajar en el mobbing clásico, pero aun así constituir otra infracción o una modalidad de acoso que no exige reiteración. Capítulo 1.</w:t>
      </w:r>
    </w:p>
    <w:p>
      <w:r>
        <w:rPr>
          <w:rFonts w:ascii="Georgia" w:hAnsi="Georgia" w:cs="Georgia"/>
          <w:b w:val="0"/>
          <w:i/>
          <w:color w:val="000000"/>
          <w:sz w:val="21"/>
        </w:rPr>
        <w:t>2. ¿El estrés o el burnout son acoso laboral?</w:t>
      </w:r>
    </w:p>
    <w:p>
      <w:r>
        <w:rPr>
          <w:rFonts w:ascii="Georgia" w:hAnsi="Georgia" w:cs="Georgia"/>
          <w:b w:val="0"/>
          <w:i w:val="0"/>
          <w:color w:val="000000"/>
          <w:sz w:val="21"/>
        </w:rPr>
        <w:t>No necesariamente. El burnout no exige un acosador: exige una exposición crónica al estrés mal gestionado. Pueden convivir con el acoso, pero son cosas distintas, y confundirlas en una demanda se paga. Capítulo 1.</w:t>
      </w:r>
    </w:p>
    <w:p>
      <w:r>
        <w:rPr>
          <w:rFonts w:ascii="Georgia" w:hAnsi="Georgia" w:cs="Georgia"/>
          <w:b w:val="0"/>
          <w:i/>
          <w:color w:val="000000"/>
          <w:sz w:val="21"/>
        </w:rPr>
        <w:t>3. ¿Mi jefe puede «exigirme» y no es acoso?</w:t>
      </w:r>
    </w:p>
    <w:p>
      <w:r>
        <w:rPr>
          <w:rFonts w:ascii="Georgia" w:hAnsi="Georgia" w:cs="Georgia"/>
          <w:b w:val="0"/>
          <w:i w:val="0"/>
          <w:color w:val="000000"/>
          <w:sz w:val="21"/>
        </w:rPr>
        <w:t>Sí. El poder de dirección (art. 20 ET) permite exigir, organizar y sancionar con respeto. Ni siquiera el ejercicio abusivo de ese poder es, por sí solo, acoso: faltarían la reiteración y la finalidad lesiva. Capítulo 1.</w:t>
      </w:r>
    </w:p>
    <w:p>
      <w:r>
        <w:rPr>
          <w:rFonts w:ascii="Georgia" w:hAnsi="Georgia" w:cs="Georgia"/>
          <w:b w:val="0"/>
          <w:i/>
          <w:color w:val="000000"/>
          <w:sz w:val="21"/>
        </w:rPr>
        <w:t>4. ¿El acoso sexual exige repetición?</w:t>
      </w:r>
    </w:p>
    <w:p>
      <w:r>
        <w:rPr>
          <w:rFonts w:ascii="Georgia" w:hAnsi="Georgia" w:cs="Georgia"/>
          <w:b w:val="0"/>
          <w:i w:val="0"/>
          <w:color w:val="000000"/>
          <w:sz w:val="21"/>
        </w:rPr>
        <w:t>No. Un solo episodio de suficiente gravedad constituye acoso sexual. La «Fue solo una vez» no es defensa aquí. Capítulo 1.</w:t>
      </w:r>
    </w:p>
    <w:p>
      <w:r>
        <w:rPr>
          <w:rFonts w:ascii="Georgia" w:hAnsi="Georgia" w:cs="Georgia"/>
          <w:b w:val="0"/>
          <w:i/>
          <w:color w:val="000000"/>
          <w:sz w:val="21"/>
        </w:rPr>
        <w:t>5. ¿Qué empresa está obligada a tener protocolo?</w:t>
      </w:r>
    </w:p>
    <w:p>
      <w:r>
        <w:rPr>
          <w:rFonts w:ascii="Georgia" w:hAnsi="Georgia" w:cs="Georgia"/>
          <w:b w:val="0"/>
          <w:i w:val="0"/>
          <w:color w:val="000000"/>
          <w:sz w:val="21"/>
        </w:rPr>
        <w:t>Todas las empresas están sujetas a los deberes preventivos que correspondan y, en materia de acoso sexual y por razón de sexo, a las medidas específicas previstas en la LO 3/2007 y su normativa de desarrollo. La obligación de disponer de un plan de igualdad tiene su propio régimen. Para afirmar que la ausencia de un protocolo genérico es una infracción, debe identificarse la norma y el deber incumplido en el caso. Capítulo 4.</w:t>
      </w:r>
    </w:p>
    <w:p>
      <w:r>
        <w:rPr>
          <w:rFonts w:ascii="Georgia" w:hAnsi="Georgia" w:cs="Georgia"/>
          <w:b w:val="0"/>
          <w:i/>
          <w:color w:val="000000"/>
          <w:sz w:val="21"/>
        </w:rPr>
        <w:t>6. ¿Y el canal de denuncias?</w:t>
      </w:r>
    </w:p>
    <w:p>
      <w:r>
        <w:rPr>
          <w:rFonts w:ascii="Georgia" w:hAnsi="Georgia" w:cs="Georgia"/>
          <w:b w:val="0"/>
          <w:i w:val="0"/>
          <w:color w:val="000000"/>
          <w:sz w:val="21"/>
        </w:rPr>
        <w:t>Como regla general, desde 50 trabajadores, según la Ley 2/2023; hay supuestos sectoriales obligados con independencia de la plantilla. Los plazos de implantación ya vencieron. Capítulo 5.</w:t>
      </w:r>
    </w:p>
    <w:p>
      <w:r>
        <w:rPr>
          <w:rFonts w:ascii="Georgia" w:hAnsi="Georgia" w:cs="Georgia"/>
          <w:b w:val="0"/>
          <w:i/>
          <w:color w:val="000000"/>
          <w:sz w:val="21"/>
        </w:rPr>
        <w:t>7. ¿Qué pasa si la empresa no tiene protocolo y hay una denuncia?</w:t>
      </w:r>
    </w:p>
    <w:p>
      <w:r>
        <w:rPr>
          <w:rFonts w:ascii="Georgia" w:hAnsi="Georgia" w:cs="Georgia"/>
          <w:b w:val="0"/>
          <w:i w:val="0"/>
          <w:color w:val="000000"/>
          <w:sz w:val="21"/>
        </w:rPr>
        <w:t>Que la Inspección suele pedir el protocolo en la primera visita y la empresa se defenderá sin documentación en el juzgado: la peor posición procesal posible. La sanción, en su caso, dependerá de la infracción concreta. Capítulos 2 y 4.</w:t>
      </w:r>
    </w:p>
    <w:p>
      <w:r>
        <w:rPr>
          <w:rFonts w:ascii="Georgia" w:hAnsi="Georgia" w:cs="Georgia"/>
          <w:b w:val="0"/>
          <w:i/>
          <w:color w:val="000000"/>
          <w:sz w:val="21"/>
        </w:rPr>
        <w:t>8. ¿Quién debe instruir la denuncia interna?</w:t>
      </w:r>
    </w:p>
    <w:p>
      <w:r>
        <w:rPr>
          <w:rFonts w:ascii="Georgia" w:hAnsi="Georgia" w:cs="Georgia"/>
          <w:b w:val="0"/>
          <w:i w:val="0"/>
          <w:color w:val="000000"/>
          <w:sz w:val="21"/>
        </w:rPr>
        <w:t>Una comisión imparcial, designada por nombre, sin relación con las partes. Si el denunciado es el gerente o un miembro de la comisión, la instrucción se externaliza. Capítulo 4.</w:t>
      </w:r>
    </w:p>
    <w:p>
      <w:r>
        <w:rPr>
          <w:rFonts w:ascii="Georgia" w:hAnsi="Georgia" w:cs="Georgia"/>
          <w:b w:val="0"/>
          <w:i/>
          <w:color w:val="000000"/>
          <w:sz w:val="21"/>
        </w:rPr>
        <w:t>9. ¿Cuánto debe durar la instrucción?</w:t>
      </w:r>
    </w:p>
    <w:p>
      <w:r>
        <w:rPr>
          <w:rFonts w:ascii="Georgia" w:hAnsi="Georgia" w:cs="Georgia"/>
          <w:b w:val="0"/>
          <w:i w:val="0"/>
          <w:color w:val="000000"/>
          <w:sz w:val="21"/>
        </w:rPr>
        <w:t>Este modelo propone un objetivo orientativo de 10 a 15 días hábiles en los casos ordinarios, con ampliación motivada cuando sea necesaria. No es un plazo legal: el procedimiento debe ser diligente, suficiente y respetar las obligaciones legales y convencionales aplicables. Capítulo 4.</w:t>
      </w:r>
    </w:p>
    <w:p>
      <w:r>
        <w:rPr>
          <w:rFonts w:ascii="Georgia" w:hAnsi="Georgia" w:cs="Georgia"/>
          <w:b w:val="0"/>
          <w:i/>
          <w:color w:val="000000"/>
          <w:sz w:val="21"/>
        </w:rPr>
        <w:t>10. ¿Puedo separar preventivamente a denunciante y denunciado?</w:t>
      </w:r>
    </w:p>
    <w:p>
      <w:r>
        <w:rPr>
          <w:rFonts w:ascii="Georgia" w:hAnsi="Georgia" w:cs="Georgia"/>
          <w:b w:val="0"/>
          <w:i w:val="0"/>
          <w:color w:val="000000"/>
          <w:sz w:val="21"/>
        </w:rPr>
        <w:t>Sí: medidas cautelares (cambio de turno, teletrabajo) sin prejuzgar, por escrito y con revisión periódica. Es lo que permite a la empresa actuar sin miedo. Capítulo 4.</w:t>
      </w:r>
    </w:p>
    <w:p>
      <w:r>
        <w:rPr>
          <w:rFonts w:ascii="Georgia" w:hAnsi="Georgia" w:cs="Georgia"/>
          <w:b w:val="0"/>
          <w:i/>
          <w:color w:val="000000"/>
          <w:sz w:val="21"/>
        </w:rPr>
        <w:t>11. ¿Grabar a mi jefe en una conversación es legal?</w:t>
      </w:r>
    </w:p>
    <w:p>
      <w:r>
        <w:rPr>
          <w:rFonts w:ascii="Georgia" w:hAnsi="Georgia" w:cs="Georgia"/>
          <w:b w:val="0"/>
          <w:i w:val="0"/>
          <w:color w:val="000000"/>
          <w:sz w:val="21"/>
        </w:rPr>
        <w:t>Si participas en la conversación, grabarla no vulnera por ese solo hecho el secreto de las comunicaciones (STC 114/1984), pero la admisión y el valor dependen del contexto, la intimidad y el uso. No edites, no recortes, guarda el original. Grabar conversaciones ajenas es otra cosa: prueba ilícita. Capítulos 8 y 10.</w:t>
      </w:r>
    </w:p>
    <w:p>
      <w:r>
        <w:rPr>
          <w:rFonts w:ascii="Georgia" w:hAnsi="Georgia" w:cs="Georgia"/>
          <w:b w:val="0"/>
          <w:i/>
          <w:color w:val="000000"/>
          <w:sz w:val="21"/>
        </w:rPr>
        <w:t>12. ¿Puedo aportar los WhatsApps en el juicio?</w:t>
      </w:r>
    </w:p>
    <w:p>
      <w:r>
        <w:rPr>
          <w:rFonts w:ascii="Georgia" w:hAnsi="Georgia" w:cs="Georgia"/>
          <w:b w:val="0"/>
          <w:i w:val="0"/>
          <w:color w:val="000000"/>
          <w:sz w:val="21"/>
        </w:rPr>
        <w:t>Los mensajes pueden aportarse si se obtuvieron lícitamente. Conviene conservar el contexto y el soporte original; si se impugna su autenticidad o integridad, puede ser necesario acreditarlas. Un pantallazo aislado no es automáticamente inadmisible, pero puede resultar insuficiente o poco convincente según las circunstancias. Capítulos 8 y 10.</w:t>
      </w:r>
    </w:p>
    <w:p>
      <w:r>
        <w:rPr>
          <w:rFonts w:ascii="Georgia" w:hAnsi="Georgia" w:cs="Georgia"/>
          <w:b w:val="0"/>
          <w:i/>
          <w:color w:val="000000"/>
          <w:sz w:val="21"/>
        </w:rPr>
        <w:t>13. ¿La empresa puede acceder al correo corporativo?</w:t>
      </w:r>
    </w:p>
    <w:p>
      <w:r>
        <w:rPr>
          <w:rFonts w:ascii="Georgia" w:hAnsi="Georgia" w:cs="Georgia"/>
          <w:b w:val="0"/>
          <w:i w:val="0"/>
          <w:color w:val="000000"/>
          <w:sz w:val="21"/>
        </w:rPr>
        <w:t>La empresa solo puede acceder con una base legítima y conforme a los requisitos legales, respetando la intimidad, la protección de datos, la información previa, y los principios de necesidad y proporcionalidad. Una política interna no autoriza cualquier acceso ni elimina las garantías de la persona trabajadora. Debe analizarse el caso concreto.</w:t>
      </w:r>
    </w:p>
    <w:p>
      <w:r>
        <w:rPr>
          <w:rFonts w:ascii="Georgia" w:hAnsi="Georgia" w:cs="Georgia"/>
          <w:b w:val="0"/>
          <w:i/>
          <w:color w:val="000000"/>
          <w:sz w:val="21"/>
        </w:rPr>
        <w:t>14. ¿Tengo que demostrar el acoso yo solo?</w:t>
      </w:r>
    </w:p>
    <w:p>
      <w:r>
        <w:rPr>
          <w:rFonts w:ascii="Georgia" w:hAnsi="Georgia" w:cs="Georgia"/>
          <w:b w:val="0"/>
          <w:i w:val="0"/>
          <w:color w:val="000000"/>
          <w:sz w:val="21"/>
        </w:rPr>
        <w:t>Debes exponer hechos que permitan inferir una posible vulneración. Si el órgano judicial aprecia indicios en los términos del art. 181.2 LRJS, la parte demandada debe aportar una justificación objetiva, razonable y suficientemente probada, incluida la proporcionalidad. La regla no elimina la necesidad de probar los hechos ni garantiza el resultado. Capítulo 11.</w:t>
      </w:r>
    </w:p>
    <w:p>
      <w:r>
        <w:rPr>
          <w:rFonts w:ascii="Georgia" w:hAnsi="Georgia" w:cs="Georgia"/>
          <w:b w:val="0"/>
          <w:i/>
          <w:color w:val="000000"/>
          <w:sz w:val="21"/>
        </w:rPr>
        <w:t>15. ¿Qué indicio vale más?</w:t>
      </w:r>
    </w:p>
    <w:p>
      <w:r>
        <w:rPr>
          <w:rFonts w:ascii="Georgia" w:hAnsi="Georgia" w:cs="Georgia"/>
          <w:b w:val="0"/>
          <w:i w:val="0"/>
          <w:color w:val="000000"/>
          <w:sz w:val="21"/>
        </w:rPr>
        <w:t>Un cambio de trato posterior a una reclamación, denuncia o baja puede ser un indicio temporal relevante, pero su valor depende del contexto y de los demás elementos. Ningún indicio tiene un peso fijo ni garantiza por sí solo la inversión de la carga. Capítulo 11.</w:t>
      </w:r>
    </w:p>
    <w:p>
      <w:r>
        <w:rPr>
          <w:rFonts w:ascii="Georgia" w:hAnsi="Georgia" w:cs="Georgia"/>
          <w:b w:val="0"/>
          <w:i/>
          <w:color w:val="000000"/>
          <w:sz w:val="21"/>
        </w:rPr>
        <w:t>16. ¿Me pueden despedir por denunciar?</w:t>
      </w:r>
    </w:p>
    <w:p>
      <w:r>
        <w:rPr>
          <w:rFonts w:ascii="Georgia" w:hAnsi="Georgia" w:cs="Georgia"/>
          <w:b w:val="0"/>
          <w:i w:val="0"/>
          <w:color w:val="000000"/>
          <w:sz w:val="21"/>
        </w:rPr>
        <w:t>Un despido posterior a una denuncia merece revisarse de inmediato por posible represalia: si se acreditan indicios suficientes de vulneración de derechos fundamentales, puede declararse nulo (art. 55.5 ET) con readmisión obligatoria. La nulidad no es automática por la simple existencia de la queja. La Ley 2/2023 protege al informante en su ámbito, con inversión de la carga. Capítulos 5 y 11.</w:t>
      </w:r>
    </w:p>
    <w:p>
      <w:r>
        <w:rPr>
          <w:rFonts w:ascii="Georgia" w:hAnsi="Georgia" w:cs="Georgia"/>
          <w:b w:val="0"/>
          <w:i/>
          <w:color w:val="000000"/>
          <w:sz w:val="21"/>
        </w:rPr>
        <w:t>17. ¿Qué hago si la empresa no responde a mi denuncia interna?</w:t>
      </w:r>
    </w:p>
    <w:p>
      <w:r>
        <w:rPr>
          <w:rFonts w:ascii="Georgia" w:hAnsi="Georgia" w:cs="Georgia"/>
          <w:b w:val="0"/>
          <w:i w:val="0"/>
          <w:color w:val="000000"/>
          <w:sz w:val="21"/>
        </w:rPr>
        <w:t>Documenta el silencio (segunda comunicación por escrito) y activa en paralelo la vía administrativa o judicial. La vía interna no suspende plazos: no esperes a la respuesta para contar los 20 días hábiles del despido. Capítulo 12.</w:t>
      </w:r>
    </w:p>
    <w:p>
      <w:r>
        <w:rPr>
          <w:rFonts w:ascii="Georgia" w:hAnsi="Georgia" w:cs="Georgia"/>
          <w:b w:val="0"/>
          <w:i/>
          <w:color w:val="000000"/>
          <w:sz w:val="21"/>
        </w:rPr>
        <w:t>18. ¿Cuánto tiempo tengo para demandar?</w:t>
      </w:r>
    </w:p>
    <w:p>
      <w:r>
        <w:rPr>
          <w:rFonts w:ascii="Georgia" w:hAnsi="Georgia" w:cs="Georgia"/>
          <w:b w:val="0"/>
          <w:i w:val="0"/>
          <w:color w:val="000000"/>
          <w:sz w:val="21"/>
        </w:rPr>
        <w:t>Despido: 20 días hábiles de caducidad, con suspensión si presentas papeleta de conciliación (art. 65 LRJS). Extinción ex art. 50 y daños: sin plazo universal —depende de la acción y los hechos—; no calcules el último día por tu cuenta. Capítulo 12 y Anexo G.</w:t>
      </w:r>
    </w:p>
    <w:p>
      <w:r>
        <w:rPr>
          <w:rFonts w:ascii="Georgia" w:hAnsi="Georgia" w:cs="Georgia"/>
          <w:b w:val="0"/>
          <w:i/>
          <w:color w:val="000000"/>
          <w:sz w:val="21"/>
        </w:rPr>
        <w:t>19. ¿Cuánto se cobra por daño moral?</w:t>
      </w:r>
    </w:p>
    <w:p>
      <w:r>
        <w:rPr>
          <w:rFonts w:ascii="Georgia" w:hAnsi="Georgia" w:cs="Georgia"/>
          <w:b w:val="0"/>
          <w:i w:val="0"/>
          <w:color w:val="000000"/>
          <w:sz w:val="21"/>
        </w:rPr>
        <w:t>No hay tabla oficial: se valora con criterios prudenciales según gravedad, duración y secuelas. El rango se argumenta, no se improvisa. Capítulo 12.</w:t>
      </w:r>
    </w:p>
    <w:p>
      <w:r>
        <w:rPr>
          <w:rFonts w:ascii="Georgia" w:hAnsi="Georgia" w:cs="Georgia"/>
          <w:b w:val="0"/>
          <w:i/>
          <w:color w:val="000000"/>
          <w:sz w:val="21"/>
        </w:rPr>
        <w:t>20. ¿La mediación sirve para resolver un acoso?</w:t>
      </w:r>
    </w:p>
    <w:p>
      <w:r>
        <w:rPr>
          <w:rFonts w:ascii="Georgia" w:hAnsi="Georgia" w:cs="Georgia"/>
          <w:b w:val="0"/>
          <w:i w:val="0"/>
          <w:color w:val="000000"/>
          <w:sz w:val="21"/>
        </w:rPr>
        <w:t>La mediación no debe sustituir la investigación ni imponerse cuando existen indicios de acoso o violencia. La prioridad es valorar los riesgos, activar el procedimiento adecuado y adoptar medidas de protección. En conflictos interpersonales sin indicios de acoso puede evaluarse una mediación voluntaria y segura. Capítulo 9.</w:t>
      </w:r>
    </w:p>
    <w:sectPr w:rsidR="00FC693F" w:rsidRPr="0006063C" w:rsidSect="00034616">
      <w:headerReference w:type="first" r:id="rId9"/>
      <w:headerReference w:type="default" r:id="rId10"/>
      <w:headerReference w:type="even" r:id="rId11"/>
      <w:pgSz w:w="8640" w:h="12960"/>
      <w:pgMar w:top="1224" w:right="936" w:bottom="1080" w:left="1368" w:header="648" w:footer="576"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36" w:val="right"/>
      </w:tabs>
      <w:spacing w:after="0"/>
      <w:pBdr>
        <w:bottom w:val="single" w:sz="4" w:space="4" w:color="BFBFBF"/>
      </w:pBdr>
    </w:pPr>
    <w:r/>
    <w:r>
      <w:rPr>
        <w:rFonts w:ascii="Arial" w:hAnsi="Arial" w:cs="Arial"/>
        <w:b w:val="0"/>
        <w:i w:val="0"/>
        <w:color w:val="595959"/>
        <w:sz w:val="15"/>
      </w:rPr>
      <w:fldChar w:fldCharType="begin"/>
    </w:r>
    <w:r>
      <w:rPr>
        <w:rFonts w:ascii="Arial" w:hAnsi="Arial" w:cs="Arial"/>
        <w:b w:val="0"/>
        <w:i w:val="0"/>
        <w:color w:val="595959"/>
        <w:sz w:val="15"/>
      </w:rPr>
      <w:instrText xml:space="preserve">PAGE</w:instrText>
    </w:r>
    <w:r>
      <w:rPr>
        <w:rFonts w:ascii="Arial" w:hAnsi="Arial" w:cs="Arial"/>
        <w:b w:val="0"/>
        <w:i w:val="0"/>
        <w:color w:val="595959"/>
        <w:sz w:val="15"/>
      </w:rPr>
      <w:fldChar w:fldCharType="end"/>
    </w:r>
    <w:r>
      <w:tab/>
    </w:r>
    <w:r>
      <w:rPr>
        <w:rFonts w:ascii="Arial" w:hAnsi="Arial" w:cs="Arial"/>
        <w:b w:val="0"/>
        <w:i w:val="0"/>
        <w:color w:val="595959"/>
        <w:sz w:val="15"/>
      </w:rPr>
      <w:t>ACOSO LABORAL EN LA EMPRESA PRIVADA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36" w:val="right"/>
      </w:tabs>
      <w:spacing w:after="0"/>
      <w:pBdr>
        <w:bottom w:val="single" w:sz="4" w:space="4" w:color="BFBFBF"/>
      </w:pBdr>
    </w:pPr>
    <w:r/>
    <w:r>
      <w:rPr>
        <w:rFonts w:ascii="Arial" w:hAnsi="Arial" w:cs="Arial"/>
        <w:b w:val="0"/>
        <w:i w:val="0"/>
        <w:color w:val="595959"/>
        <w:sz w:val="15"/>
      </w:rPr>
      <w:t>ACOSO LABORAL EN LA EMPRESA PRIVADA</w:t>
    </w:r>
    <w:r>
      <w:tab/>
    </w:r>
    <w:r>
      <w:rPr>
        <w:rFonts w:ascii="Arial" w:hAnsi="Arial" w:cs="Arial"/>
        <w:b w:val="0"/>
        <w:i w:val="0"/>
        <w:color w:val="595959"/>
        <w:sz w:val="15"/>
      </w:rPr>
      <w:fldChar w:fldCharType="begin"/>
    </w:r>
    <w:r>
      <w:rPr>
        <w:rFonts w:ascii="Arial" w:hAnsi="Arial" w:cs="Arial"/>
        <w:b w:val="0"/>
        <w:i w:val="0"/>
        <w:color w:val="595959"/>
        <w:sz w:val="15"/>
      </w:rPr>
      <w:instrText xml:space="preserve">PAGE</w:instrText>
    </w:r>
    <w:r>
      <w:rPr>
        <w:rFonts w:ascii="Arial" w:hAnsi="Arial" w:cs="Arial"/>
        <w:b w:val="0"/>
        <w:i w:val="0"/>
        <w:color w:val="595959"/>
        <w:sz w:val="15"/>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autoHyphenation w:val="true"/>
  <w:hyphenationZone w:val="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jc w:val="both"/>
    </w:pPr>
    <w:rPr>
      <w:rFonts w:ascii="Georgia" w:hAnsi="Georgia"/>
      <w:sz w:val="21"/>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Definitiva contra el Acoso Laboral en la Empresa Privada — ANEXO L · PREGUNTAS FRECUENTES DE TRINCHERA</dc:title>
  <dc:subject>Acoso laboral en la empresa privada</dc:subject>
  <dc:creator>E. J. López</dc:creator>
  <cp:keywords/>
  <dc:description>generated by python-docx</dc:description>
  <cp:lastModifiedBy/>
  <cp:revision>1</cp:revision>
  <dcterms:created xsi:type="dcterms:W3CDTF">2013-12-23T23:15:00Z</dcterms:created>
  <dcterms:modified xsi:type="dcterms:W3CDTF">2013-12-23T23:15:00Z</dcterms:modified>
  <cp:category/>
  <dc:language>es-ES</dc:language>
</cp:coreProperties>
</file>