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cs="Arial"/>
          <w:b/>
          <w:i w:val="0"/>
          <w:color w:val="000000"/>
          <w:sz w:val="22"/>
        </w:rPr>
        <w:t>ANEXO M</w:t>
      </w:r>
    </w:p>
    <w:p>
      <w:pPr>
        <w:spacing w:after="320"/>
        <w:keepNext/>
        <w:pBdr>
          <w:bottom w:val="single" w:sz="8" w:space="4" w:color="000000"/>
        </w:pBdr>
      </w:pPr>
      <w:r>
        <w:rPr>
          <w:rFonts w:ascii="Arial" w:hAnsi="Arial" w:cs="Arial"/>
          <w:b/>
          <w:i w:val="0"/>
          <w:color w:val="000000"/>
          <w:sz w:val="33"/>
        </w:rPr>
        <w:t>ORIENTACIÓN DOCTRINAL Y NORMATIVA (MATERIAL DE REFERENCIA)</w:t>
      </w:r>
    </w:p>
    <w:p>
      <w:r>
        <w:rPr>
          <w:rFonts w:ascii="Georgia" w:hAnsi="Georgia" w:cs="Georgia"/>
          <w:b w:val="0"/>
          <w:i w:val="0"/>
          <w:color w:val="000000"/>
          <w:sz w:val="21"/>
        </w:rPr>
        <w:t xml:space="preserve">Diez anclas para leer, orientar y argumentar. Cada entrada indica el tema, de dónde viene la referencia y qué significa en la práctica para una empresa privada. Este anexo es </w:t>
      </w:r>
      <w:r>
        <w:rPr>
          <w:rFonts w:ascii="Georgia" w:hAnsi="Georgia" w:cs="Georgia"/>
          <w:b/>
          <w:i w:val="0"/>
          <w:color w:val="000000"/>
          <w:sz w:val="21"/>
        </w:rPr>
        <w:t>material orientativo</w:t>
      </w:r>
      <w:r>
        <w:rPr>
          <w:rFonts w:ascii="Georgia" w:hAnsi="Georgia" w:cs="Georgia"/>
          <w:b w:val="0"/>
          <w:i w:val="0"/>
          <w:color w:val="000000"/>
          <w:sz w:val="21"/>
        </w:rPr>
        <w:t>: donde se cita una norma, el artículo está identificado; donde se alude a criterios judiciales, se indica su alcance sin atribuir a una sentencia concreta una conclusión que el lector no pueda comprobar. Antes de usar cualquier cita en un escrito o en un juicio, verifica el texto vigente y la resolución aplicable a tu caso.</w:t>
      </w:r>
    </w:p>
    <w:p>
      <w:r>
        <w:rPr>
          <w:rFonts w:ascii="Georgia" w:hAnsi="Georgia" w:cs="Georgia"/>
          <w:b w:val="0"/>
          <w:i/>
          <w:color w:val="000000"/>
          <w:sz w:val="21"/>
        </w:rPr>
        <w:t>1. La dignidad como límite del poder de dirección (arts. 10.1 y 15 CE; 4.2.e ET).</w:t>
      </w:r>
    </w:p>
    <w:p>
      <w:r>
        <w:rPr>
          <w:rFonts w:ascii="Georgia" w:hAnsi="Georgia" w:cs="Georgia"/>
          <w:b w:val="0"/>
          <w:i w:val="0"/>
          <w:color w:val="000000"/>
          <w:sz w:val="21"/>
        </w:rPr>
        <w:t>El punto de partida es constitucional y legal: el poder de dirección del artículo 20 ET se ejerce sobre la prestación de trabajo, no sobre la persona. En la práctica, una orden legítima en su objeto puede ser ilegítima en su forma si humilla, veja o degrada. La valoración judicial atiende al caso concreto, no a una regla automática.</w:t>
      </w:r>
    </w:p>
    <w:p>
      <w:r>
        <w:rPr>
          <w:rFonts w:ascii="Georgia" w:hAnsi="Georgia" w:cs="Georgia"/>
          <w:b w:val="0"/>
          <w:i/>
          <w:color w:val="000000"/>
          <w:sz w:val="21"/>
        </w:rPr>
        <w:t>2. Los tres mimbres del acoso laboral.</w:t>
      </w:r>
    </w:p>
    <w:p>
      <w:r>
        <w:rPr>
          <w:rFonts w:ascii="Georgia" w:hAnsi="Georgia" w:cs="Georgia"/>
          <w:b w:val="0"/>
          <w:i w:val="0"/>
          <w:color w:val="000000"/>
          <w:sz w:val="21"/>
        </w:rPr>
        <w:t xml:space="preserve">Sistematicidad, finalidad lesiva y resultado hostil son una </w:t>
      </w:r>
      <w:r>
        <w:rPr>
          <w:rFonts w:ascii="Georgia" w:hAnsi="Georgia" w:cs="Georgia"/>
          <w:b/>
          <w:i w:val="0"/>
          <w:color w:val="000000"/>
          <w:sz w:val="21"/>
        </w:rPr>
        <w:t>lista orientativa</w:t>
      </w:r>
      <w:r>
        <w:rPr>
          <w:rFonts w:ascii="Georgia" w:hAnsi="Georgia" w:cs="Georgia"/>
          <w:b w:val="0"/>
          <w:i w:val="0"/>
          <w:color w:val="000000"/>
          <w:sz w:val="21"/>
        </w:rPr>
        <w:t xml:space="preserve"> para ordenar el análisis, no un test legal cerrado ni una garantía de resultado. No existe un número mágico de episodios ni un plazo que asegure ganar un juicio; el contexto, la modalidad concreta y las explicaciones de la empresa importan. La conclusión se fundamenta con hechos y con resoluciones identificadas, no rellenando tres casillas.</w:t>
      </w:r>
    </w:p>
    <w:p>
      <w:r>
        <w:rPr>
          <w:rFonts w:ascii="Georgia" w:hAnsi="Georgia" w:cs="Georgia"/>
          <w:b w:val="0"/>
          <w:i/>
          <w:color w:val="000000"/>
          <w:sz w:val="21"/>
        </w:rPr>
        <w:t>3. «No constituye acoso el mero ejercicio del poder de dirección».</w:t>
      </w:r>
    </w:p>
    <w:p>
      <w:r>
        <w:rPr>
          <w:rFonts w:ascii="Georgia" w:hAnsi="Georgia" w:cs="Georgia"/>
          <w:b w:val="0"/>
          <w:i w:val="0"/>
          <w:color w:val="000000"/>
          <w:sz w:val="21"/>
        </w:rPr>
        <w:t>Esta idea, presente en la práctica de los juzgados de lo social, debe leerse con cuidado: el abuso del poder de dirección tiene su propio remedio (impugnación de sanciones, modificaciones, despidos), pero no equivale por sí solo a acoso. En la práctica, la pregunta no es si la empresa podía mandar; es si, además, humillaba con reiteración y sin justificación. Apóyate en resoluciones identificadas cuando cites esta línea.</w:t>
      </w:r>
    </w:p>
    <w:p>
      <w:r>
        <w:rPr>
          <w:rFonts w:ascii="Georgia" w:hAnsi="Georgia" w:cs="Georgia"/>
          <w:b w:val="0"/>
          <w:i/>
          <w:color w:val="000000"/>
          <w:sz w:val="21"/>
        </w:rPr>
        <w:t>4. Inversión de la carga de la prueba (art. 181.2 LRJS).</w:t>
      </w:r>
    </w:p>
    <w:p>
      <w:r>
        <w:rPr>
          <w:rFonts w:ascii="Georgia" w:hAnsi="Georgia" w:cs="Georgia"/>
          <w:b w:val="0"/>
          <w:i w:val="0"/>
          <w:color w:val="000000"/>
          <w:sz w:val="21"/>
        </w:rPr>
        <w:t>La documentación contemporánea de las decisiones empresariales puede ser una herramienta importante para explicar su fundamento, junto con otros medios de prueba. No es la única defensa posible ni garantiza un resultado.</w:t>
      </w:r>
    </w:p>
    <w:p>
      <w:r>
        <w:rPr>
          <w:rFonts w:ascii="Georgia" w:hAnsi="Georgia" w:cs="Georgia"/>
          <w:b w:val="0"/>
          <w:i/>
          <w:color w:val="000000"/>
          <w:sz w:val="21"/>
        </w:rPr>
        <w:t>5. Grabaciones propias y secreto de las comunicaciones (STC 114/1984).</w:t>
      </w:r>
    </w:p>
    <w:p>
      <w:r>
        <w:rPr>
          <w:rFonts w:ascii="Georgia" w:hAnsi="Georgia" w:cs="Georgia"/>
          <w:b w:val="0"/>
          <w:i w:val="0"/>
          <w:color w:val="000000"/>
          <w:sz w:val="21"/>
        </w:rPr>
        <w:t>Si participaste en una conversación, grabarla no vulnera por ese solo hecho el secreto de las comunicaciones en el sentido examinado por el Tribunal Constitucional en la STC 114/1984. Eso no garantiza que toda grabación sea lícita o que se admita sin discusión: importan el contexto, la intimidad, la protección de datos y el uso que se le dé. Guarda el archivo original, no lo edites y valora el uso antes de difundirlo.</w:t>
      </w:r>
    </w:p>
    <w:p>
      <w:r>
        <w:rPr>
          <w:rFonts w:ascii="Georgia" w:hAnsi="Georgia" w:cs="Georgia"/>
          <w:b w:val="0"/>
          <w:i/>
          <w:color w:val="000000"/>
          <w:sz w:val="21"/>
        </w:rPr>
        <w:t>6. Prueba ilícita y exclusión (art. 90.2 LRJS; art. 11.1 LOPJ).</w:t>
      </w:r>
    </w:p>
    <w:p>
      <w:r>
        <w:rPr>
          <w:rFonts w:ascii="Georgia" w:hAnsi="Georgia" w:cs="Georgia"/>
          <w:b w:val="0"/>
          <w:i w:val="0"/>
          <w:color w:val="000000"/>
          <w:sz w:val="21"/>
        </w:rPr>
        <w:t>No surten efecto las pruebas obtenidas violentando derechos o libertades fundamentales. En la práctica, la empresa que accede sin base a cuentas privadas pierde la prueba y gana un problema; la defensa que impugna todo sin fundamento pierde credibilidad ante el órgano judicial.</w:t>
      </w:r>
    </w:p>
    <w:p>
      <w:r>
        <w:rPr>
          <w:rFonts w:ascii="Georgia" w:hAnsi="Georgia" w:cs="Georgia"/>
          <w:b w:val="0"/>
          <w:i/>
          <w:color w:val="000000"/>
          <w:sz w:val="21"/>
        </w:rPr>
        <w:t>7. Criterio Técnico 69/2009 de la ITSS (acoso y violencia en el trabajo).</w:t>
      </w:r>
    </w:p>
    <w:p>
      <w:r>
        <w:rPr>
          <w:rFonts w:ascii="Georgia" w:hAnsi="Georgia" w:cs="Georgia"/>
          <w:b w:val="0"/>
          <w:i w:val="0"/>
          <w:color w:val="000000"/>
          <w:sz w:val="21"/>
        </w:rPr>
        <w:t>Material de orientación técnica, no una norma con rango de ley. Describe cómo suele enfocar la Inspección el acoso: definiciones operativas, conductas típicas y criterios de actuación. Sirve para anticiparse a lo que el inspector pedirá —protocolo, evaluación psicosocial, investigación interna—, no para sustituir al precepto legal en el que se apoye una obligación o una sanción.</w:t>
      </w:r>
    </w:p>
    <w:p>
      <w:r>
        <w:rPr>
          <w:rFonts w:ascii="Georgia" w:hAnsi="Georgia" w:cs="Georgia"/>
          <w:b w:val="0"/>
          <w:i/>
          <w:color w:val="000000"/>
          <w:sz w:val="21"/>
        </w:rPr>
        <w:t>8. Criterio Técnico 104/2021 de la ITSS (riesgos psicosociales).</w:t>
      </w:r>
    </w:p>
    <w:p>
      <w:r>
        <w:rPr>
          <w:rFonts w:ascii="Georgia" w:hAnsi="Georgia" w:cs="Georgia"/>
          <w:b w:val="0"/>
          <w:i w:val="0"/>
          <w:color w:val="000000"/>
          <w:sz w:val="21"/>
        </w:rPr>
        <w:t>Otro material de orientación técnica: orienta la actuación inspectora hacia la evaluación específica, las medidas derivadas, la vigilancia de la salud y la investigación de las denuncias. La coherencia evaluación-medidas-seguimiento es lo que se comprueba en la práctica. La obligación y la eventual infracción se conectan con la norma vigente (LPRL, LISOS) y con los hechos probados.</w:t>
      </w:r>
    </w:p>
    <w:p>
      <w:r>
        <w:rPr>
          <w:rFonts w:ascii="Georgia" w:hAnsi="Georgia" w:cs="Georgia"/>
          <w:b w:val="0"/>
          <w:i/>
          <w:color w:val="000000"/>
          <w:sz w:val="21"/>
        </w:rPr>
        <w:t>9. Convenio 190 de la OIT (violencia y acoso en el mundo del trabajo).</w:t>
      </w:r>
    </w:p>
    <w:p>
      <w:r>
        <w:rPr>
          <w:rFonts w:ascii="Georgia" w:hAnsi="Georgia" w:cs="Georgia"/>
          <w:b w:val="0"/>
          <w:i w:val="0"/>
          <w:color w:val="000000"/>
          <w:sz w:val="21"/>
        </w:rPr>
        <w:t>España ratificó el Convenio: el instrumento se publicó en el BOE el 16 de junio de 2022 (BOE-A-2022-9978) y entró en vigor para España el 25 de mayo de 2023. Estándar integral de prevención con dimensión de género; como estándar, refuerza el deber empresarial, pero la obligación concreta se articula a través de las normas internas que lo desarrollan.</w:t>
      </w:r>
    </w:p>
    <w:p>
      <w:r>
        <w:rPr>
          <w:rFonts w:ascii="Georgia" w:hAnsi="Georgia" w:cs="Georgia"/>
          <w:b w:val="0"/>
          <w:i/>
          <w:color w:val="000000"/>
          <w:sz w:val="21"/>
        </w:rPr>
        <w:t>10. Cuantificación del daño moral.</w:t>
      </w:r>
    </w:p>
    <w:p>
      <w:r>
        <w:rPr>
          <w:rFonts w:ascii="Georgia" w:hAnsi="Georgia" w:cs="Georgia"/>
          <w:b w:val="0"/>
          <w:i w:val="0"/>
          <w:color w:val="000000"/>
          <w:sz w:val="21"/>
        </w:rPr>
        <w:t>No hay tablas legales: la valoración atiende a la gravedad, la duración, las secuelas y el contexto de cada caso, con criterios prudenciales. En la práctica, la cifra se pide argumentada, con hechos y con referencias identificadas; pedir sin argumento resta credibilidad y pedir de menos regala dinero. No prometas rangos cerrados: cada tribunal valora su caso.</w:t>
      </w:r>
    </w:p>
    <w:sectPr w:rsidR="00FC693F" w:rsidRPr="0006063C" w:rsidSect="00034616">
      <w:headerReference w:type="first" r:id="rId9"/>
      <w:headerReference w:type="default" r:id="rId10"/>
      <w:headerReference w:type="even" r:id="rId11"/>
      <w:pgSz w:w="8640" w:h="12960"/>
      <w:pgMar w:top="1224" w:right="936" w:bottom="1080" w:left="1368" w:header="648" w:footer="576" w:gutter="0"/>
      <w:cols w:space="720"/>
      <w:titlePg/>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36" w:val="right"/>
      </w:tabs>
      <w:spacing w:after="0"/>
      <w:pBdr>
        <w:bottom w:val="single" w:sz="4" w:space="4" w:color="BFBFBF"/>
      </w:pBdr>
    </w:pPr>
    <w:r/>
    <w:r>
      <w:rPr>
        <w:rFonts w:ascii="Arial" w:hAnsi="Arial" w:cs="Arial"/>
        <w:b w:val="0"/>
        <w:i w:val="0"/>
        <w:color w:val="595959"/>
        <w:sz w:val="15"/>
      </w:rPr>
      <w:fldChar w:fldCharType="begin"/>
    </w:r>
    <w:r>
      <w:rPr>
        <w:rFonts w:ascii="Arial" w:hAnsi="Arial" w:cs="Arial"/>
        <w:b w:val="0"/>
        <w:i w:val="0"/>
        <w:color w:val="595959"/>
        <w:sz w:val="15"/>
      </w:rPr>
      <w:instrText xml:space="preserve">PAGE</w:instrText>
    </w:r>
    <w:r>
      <w:rPr>
        <w:rFonts w:ascii="Arial" w:hAnsi="Arial" w:cs="Arial"/>
        <w:b w:val="0"/>
        <w:i w:val="0"/>
        <w:color w:val="595959"/>
        <w:sz w:val="15"/>
      </w:rPr>
      <w:fldChar w:fldCharType="end"/>
    </w:r>
    <w:r>
      <w:tab/>
    </w:r>
    <w:r>
      <w:rPr>
        <w:rFonts w:ascii="Arial" w:hAnsi="Arial" w:cs="Arial"/>
        <w:b w:val="0"/>
        <w:i w:val="0"/>
        <w:color w:val="595959"/>
        <w:sz w:val="15"/>
      </w:rPr>
      <w:t>ACOSO LABORAL EN LA EMPRESA PRIVADA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6336" w:val="right"/>
      </w:tabs>
      <w:spacing w:after="0"/>
      <w:pBdr>
        <w:bottom w:val="single" w:sz="4" w:space="4" w:color="BFBFBF"/>
      </w:pBdr>
    </w:pPr>
    <w:r/>
    <w:r>
      <w:rPr>
        <w:rFonts w:ascii="Arial" w:hAnsi="Arial" w:cs="Arial"/>
        <w:b w:val="0"/>
        <w:i w:val="0"/>
        <w:color w:val="595959"/>
        <w:sz w:val="15"/>
      </w:rPr>
      <w:t>ACOSO LABORAL EN LA EMPRESA PRIVADA</w:t>
    </w:r>
    <w:r>
      <w:tab/>
    </w:r>
    <w:r>
      <w:rPr>
        <w:rFonts w:ascii="Arial" w:hAnsi="Arial" w:cs="Arial"/>
        <w:b w:val="0"/>
        <w:i w:val="0"/>
        <w:color w:val="595959"/>
        <w:sz w:val="15"/>
      </w:rPr>
      <w:fldChar w:fldCharType="begin"/>
    </w:r>
    <w:r>
      <w:rPr>
        <w:rFonts w:ascii="Arial" w:hAnsi="Arial" w:cs="Arial"/>
        <w:b w:val="0"/>
        <w:i w:val="0"/>
        <w:color w:val="595959"/>
        <w:sz w:val="15"/>
      </w:rPr>
      <w:instrText xml:space="preserve">PAGE</w:instrText>
    </w:r>
    <w:r>
      <w:rPr>
        <w:rFonts w:ascii="Arial" w:hAnsi="Arial" w:cs="Arial"/>
        <w:b w:val="0"/>
        <w:i w:val="0"/>
        <w:color w:val="595959"/>
        <w:sz w:val="15"/>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autoHyphenation w:val="true"/>
  <w:hyphenationZone w:val="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jc w:val="both"/>
    </w:pPr>
    <w:rPr>
      <w:rFonts w:ascii="Georgia" w:hAnsi="Georgia"/>
      <w:sz w:val="21"/>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Definitiva contra el Acoso Laboral en la Empresa Privada — ANEXO M · JURISPRUDENCIA Y DOCTRINA COMENTADA</dc:title>
  <dc:subject>Acoso laboral en la empresa privada</dc:subject>
  <dc:creator>E. J. López</dc:creator>
  <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