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Anexo I — Fuentes y bibliografía</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El listado de todo lo que el libro cita, con el enlace al original y la fecha en que se consultó. No es un adorno bibliográfico: es la forma de que cualquiera pueda comprobar que lo que está escrito se recoge en el texto oficial.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Permite ir a la fuente sin intermediarios y comprobar si la norma ha cambiado después de la fecha del libro. También deja constancia de qué se ha consultado y qué no.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Cualquiera que use el libro. Este anexo es el que evita que el contenido dependa de la confianza en el autor.</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Antes de aplicar en obra cualquier afirmación del libro que sea normativa, y siempre que se sospeche que el marco legal ha cambiado.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Norma, organismo, referencia oficial, enlace, fecha de consulta y qué regula. Y, por separado, las fuentes técnicas y las resoluciones judiciales, con su naturaleza jurídica indicada.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Los enlaces del Boletín Oficial del Estado llevan a texto consolidado, que es de carácter informativo. Para lo que tenga efectos jurídicos hay que acudir a la publicación oficial. Una norma puede modificarse después de la fecha de revisión. Por eso el libro lleva fecha de corte y hay que comprobarla. Las fuentes técnicas (guías del INSST, notas técnicas) son criterios, no obligaciones. Salvo que se incorporen a un texto legal, obligan por la vía de la recomendación, no como norma. Las resoluciones judiciales citadas en el libro no crean una jurisprudencia vinculante. Cada caso se juzga con los hechos que consten.</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cada enlace del apartado 2.1 abre y corresponde a la norma que se cita.</w:t>
      </w:r>
    </w:p>
    <w:p>
      <w:pPr>
        <w:spacing w:after="40" w:line="264" w:lineRule="auto"/>
        <w:ind w:left="567" w:hanging="227"/>
      </w:pPr>
      <w:r>
        <w:rPr>
          <w:rFonts w:ascii="Arial" w:hAnsi="Arial"/>
          <w:color w:val="1A1A1A"/>
          <w:sz w:val="19"/>
        </w:rPr>
        <w:t>• Que la fecha de consulta que figura en el libro es la misma que la de este anexo.</w:t>
      </w:r>
    </w:p>
    <w:p>
      <w:pPr>
        <w:spacing w:after="40" w:line="264" w:lineRule="auto"/>
        <w:ind w:left="567" w:hanging="227"/>
      </w:pPr>
      <w:r>
        <w:rPr>
          <w:rFonts w:ascii="Arial" w:hAnsi="Arial"/>
          <w:color w:val="1A1A1A"/>
          <w:sz w:val="19"/>
        </w:rPr>
        <w:t>• Que toda norma citada como vigente no ha sido derogada por otra posterior.</w:t>
      </w:r>
    </w:p>
    <w:p>
      <w:pPr>
        <w:spacing w:after="40" w:line="264" w:lineRule="auto"/>
        <w:ind w:left="567" w:hanging="227"/>
      </w:pPr>
      <w:r>
        <w:rPr>
          <w:rFonts w:ascii="Arial" w:hAnsi="Arial"/>
          <w:color w:val="1A1A1A"/>
          <w:sz w:val="19"/>
        </w:rPr>
        <w:t>• Que las fuentes técnicas están identificadas como tales y no como obligaciones legales.</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Este anexo se actualiza en la misma fecha que el libro. Si cambia una norma, cambia el libro y este anexo a la vez.</w:t>
      </w:r>
    </w:p>
    <w:p>
      <w:pPr>
        <w:spacing w:after="40" w:line="264" w:lineRule="auto"/>
        <w:ind w:left="567" w:hanging="227"/>
      </w:pPr>
      <w:r>
        <w:rPr>
          <w:rFonts w:ascii="Arial" w:hAnsi="Arial"/>
          <w:color w:val="1A1A1A"/>
          <w:sz w:val="19"/>
        </w:rPr>
        <w:t>2. Al citar en un expediente, use la referencia de la columna «Referencia oficial», que es la que permite localizar el texto en cualquier repositorio.</w:t>
      </w:r>
    </w:p>
    <w:p>
      <w:pPr>
        <w:spacing w:after="40" w:line="264" w:lineRule="auto"/>
        <w:ind w:left="567" w:hanging="227"/>
      </w:pPr>
      <w:r>
        <w:rPr>
          <w:rFonts w:ascii="Arial" w:hAnsi="Arial"/>
          <w:color w:val="1A1A1A"/>
          <w:sz w:val="19"/>
        </w:rPr>
        <w:t>3. Una fuente que no se ha podido verificar se indica como tal, con el motivo. No se omite ni se rellena de memoria.</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revisión del anexo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Ámbito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Normas en el listado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Fuentes técnicas</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2.1. Normativa citada en el libro</w:t>
      </w:r>
    </w:p>
    <w:p>
      <w:pPr>
        <w:keepNext/>
        <w:spacing w:after="40" w:before="0" w:line="264" w:lineRule="auto"/>
      </w:pPr>
      <w:r>
        <w:rPr>
          <w:rFonts w:ascii="Arial" w:hAnsi="Arial"/>
          <w:b/>
          <w:i w:val="0"/>
          <w:color w:val="1A1A1A"/>
          <w:sz w:val="19"/>
        </w:rPr>
        <w:t>I.1. Normativa citada, con su referencia oficial y su enlace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2523"/>
        <w:gridCol w:w="2523"/>
        <w:gridCol w:w="2523"/>
        <w:gridCol w:w="2523"/>
        <w:gridCol w:w="2523"/>
        <w:gridCol w:w="2523"/>
      </w:tblGrid>
      <w:tr>
        <w:trPr>
          <w:tblHeader w:val="true"/>
          <w:cantSplit/>
        </w:trPr>
        <w:tc>
          <w:tcPr>
            <w:tcW w:type="dxa" w:w="3186"/>
            <w:vAlign w:val="top"/>
            <w:shd w:val="clear" w:color="auto" w:fill="F2F2F2"/>
          </w:tcPr>
          <w:p>
            <w:pPr>
              <w:spacing w:before="30" w:after="30" w:line="240" w:lineRule="auto"/>
              <w:jc w:val="left"/>
            </w:pPr>
            <w:r>
              <w:rPr>
                <w:rFonts w:ascii="Arial" w:hAnsi="Arial"/>
                <w:b/>
                <w:color w:val="1A1A1A"/>
                <w:sz w:val="18"/>
              </w:rPr>
              <w:t>Norma</w:t>
            </w:r>
          </w:p>
          <w:p>
            <w:pPr>
              <w:spacing w:after="0"/>
            </w:pPr>
            <w:r>
              <w:rPr>
                <w:i/>
                <w:color w:val="808080"/>
                <w:sz w:val="14"/>
              </w:rPr>
              <w:t>obligatorio</w:t>
            </w:r>
          </w:p>
        </w:tc>
        <w:tc>
          <w:tcPr>
            <w:tcW w:type="dxa" w:w="2392"/>
            <w:vAlign w:val="top"/>
            <w:shd w:val="clear" w:color="auto" w:fill="F2F2F2"/>
          </w:tcPr>
          <w:p>
            <w:pPr>
              <w:spacing w:before="30" w:after="30" w:line="240" w:lineRule="auto"/>
              <w:jc w:val="left"/>
            </w:pPr>
            <w:r>
              <w:rPr>
                <w:rFonts w:ascii="Arial" w:hAnsi="Arial"/>
                <w:b/>
                <w:color w:val="1A1A1A"/>
                <w:sz w:val="18"/>
              </w:rPr>
              <w:t>Referencia oficial</w:t>
            </w:r>
          </w:p>
          <w:p>
            <w:pPr>
              <w:spacing w:after="0"/>
            </w:pPr>
            <w:r>
              <w:rPr>
                <w:i/>
                <w:color w:val="808080"/>
                <w:sz w:val="14"/>
              </w:rPr>
              <w:t>obligatorio</w:t>
            </w:r>
          </w:p>
        </w:tc>
        <w:tc>
          <w:tcPr>
            <w:tcW w:type="dxa" w:w="2988"/>
            <w:vAlign w:val="top"/>
            <w:shd w:val="clear" w:color="auto" w:fill="F2F2F2"/>
          </w:tcPr>
          <w:p>
            <w:pPr>
              <w:spacing w:before="30" w:after="30" w:line="240" w:lineRule="auto"/>
              <w:jc w:val="left"/>
            </w:pPr>
            <w:r>
              <w:rPr>
                <w:rFonts w:ascii="Arial" w:hAnsi="Arial"/>
                <w:b/>
                <w:color w:val="1A1A1A"/>
                <w:sz w:val="18"/>
              </w:rPr>
              <w:t>Enlace al texto consolidado en el BOE</w:t>
            </w:r>
          </w:p>
          <w:p>
            <w:pPr>
              <w:spacing w:after="0"/>
            </w:pPr>
            <w:r>
              <w:rPr>
                <w:i/>
                <w:color w:val="808080"/>
                <w:sz w:val="14"/>
              </w:rPr>
              <w:t>obligatorio</w:t>
            </w:r>
          </w:p>
        </w:tc>
        <w:tc>
          <w:tcPr>
            <w:tcW w:type="dxa" w:w="1593"/>
            <w:vAlign w:val="top"/>
            <w:shd w:val="clear" w:color="auto" w:fill="F2F2F2"/>
          </w:tcPr>
          <w:p>
            <w:pPr>
              <w:spacing w:before="30" w:after="30" w:line="240" w:lineRule="auto"/>
              <w:jc w:val="left"/>
            </w:pPr>
            <w:r>
              <w:rPr>
                <w:rFonts w:ascii="Arial" w:hAnsi="Arial"/>
                <w:b/>
                <w:color w:val="1A1A1A"/>
                <w:sz w:val="18"/>
              </w:rPr>
              <w:t>Fecha de última actualización (verificada)</w:t>
            </w:r>
          </w:p>
          <w:p>
            <w:pPr>
              <w:spacing w:after="0"/>
            </w:pPr>
            <w:r>
              <w:rPr>
                <w:i/>
                <w:color w:val="808080"/>
                <w:sz w:val="14"/>
              </w:rPr>
              <w:t>obligatorio</w:t>
            </w:r>
          </w:p>
        </w:tc>
        <w:tc>
          <w:tcPr>
            <w:tcW w:type="dxa" w:w="1593"/>
            <w:vAlign w:val="top"/>
            <w:shd w:val="clear" w:color="auto" w:fill="F2F2F2"/>
          </w:tcPr>
          <w:p>
            <w:pPr>
              <w:spacing w:before="30" w:after="30" w:line="240" w:lineRule="auto"/>
              <w:jc w:val="left"/>
            </w:pPr>
            <w:r>
              <w:rPr>
                <w:rFonts w:ascii="Arial" w:hAnsi="Arial"/>
                <w:b/>
                <w:color w:val="1A1A1A"/>
                <w:sz w:val="18"/>
              </w:rPr>
              <w:t>Fecha de consulta</w:t>
            </w:r>
          </w:p>
          <w:p>
            <w:pPr>
              <w:spacing w:after="0"/>
            </w:pPr>
            <w:r>
              <w:rPr>
                <w:i/>
                <w:color w:val="808080"/>
                <w:sz w:val="14"/>
              </w:rPr>
              <w:t>obligatorio</w:t>
            </w:r>
          </w:p>
        </w:tc>
        <w:tc>
          <w:tcPr>
            <w:tcW w:type="dxa" w:w="3385"/>
            <w:vAlign w:val="top"/>
            <w:shd w:val="clear" w:color="auto" w:fill="F2F2F2"/>
          </w:tcPr>
          <w:p>
            <w:pPr>
              <w:spacing w:before="30" w:after="30" w:line="240" w:lineRule="auto"/>
              <w:jc w:val="left"/>
            </w:pPr>
            <w:r>
              <w:rPr>
                <w:rFonts w:ascii="Arial" w:hAnsi="Arial"/>
                <w:b/>
                <w:color w:val="1A1A1A"/>
                <w:sz w:val="18"/>
              </w:rPr>
              <w:t>Qué regula en este libro</w:t>
            </w:r>
          </w:p>
          <w:p>
            <w:pPr>
              <w:spacing w:after="0"/>
            </w:pPr>
            <w:r>
              <w:rPr>
                <w:i/>
                <w:color w:val="808080"/>
                <w:sz w:val="14"/>
              </w:rPr>
              <w:t>obligatorio</w:t>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bl>
    <w:p>
      <w:pPr>
        <w:spacing w:after="160" w:before="0" w:line="264" w:lineRule="auto"/>
      </w:pPr>
      <w:r>
        <w:rPr>
          <w:rFonts w:ascii="Arial" w:hAnsi="Arial"/>
          <w:b w:val="0"/>
          <w:i/>
          <w:color w:val="1A1A1A"/>
          <w:sz w:val="17"/>
        </w:rPr>
        <w:t>La columna «Fecha de última actualización» es la que consta en el consolidado del BOE el 25/10/2026. Si al consultarlo ve otra fecha, la norma ha cambiado después de este libro.</w:t>
      </w:r>
    </w:p>
    <w:p>
      <w:pPr>
        <w:spacing w:after="100" w:before="0" w:line="264" w:lineRule="auto"/>
      </w:pPr>
      <w:r>
        <w:rPr>
          <w:rFonts w:ascii="Arial" w:hAnsi="Arial"/>
          <w:b w:val="0"/>
          <w:i w:val="0"/>
          <w:color w:val="1A1A1A"/>
          <w:sz w:val="20"/>
        </w:rPr>
        <w:t>2.2. Fuentes técnicas y de Criteria</w:t>
      </w:r>
    </w:p>
    <w:p>
      <w:pPr>
        <w:keepNext/>
        <w:spacing w:after="40" w:before="0" w:line="264" w:lineRule="auto"/>
      </w:pPr>
      <w:r>
        <w:rPr>
          <w:rFonts w:ascii="Arial" w:hAnsi="Arial"/>
          <w:b/>
          <w:i w:val="0"/>
          <w:color w:val="1A1A1A"/>
          <w:sz w:val="19"/>
        </w:rPr>
        <w:t>I.2. Fuentes técnicas: son criterios, no obligaciones legales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028"/>
        <w:gridCol w:w="3028"/>
        <w:gridCol w:w="3028"/>
        <w:gridCol w:w="3028"/>
        <w:gridCol w:w="3028"/>
      </w:tblGrid>
      <w:tr>
        <w:trPr>
          <w:tblHeader w:val="true"/>
          <w:cantSplit/>
        </w:trPr>
        <w:tc>
          <w:tcPr>
            <w:tcW w:type="dxa" w:w="3441"/>
            <w:vAlign w:val="top"/>
            <w:shd w:val="clear" w:color="auto" w:fill="F2F2F2"/>
          </w:tcPr>
          <w:p>
            <w:pPr>
              <w:spacing w:before="30" w:after="30" w:line="240" w:lineRule="auto"/>
              <w:jc w:val="left"/>
            </w:pPr>
            <w:r>
              <w:rPr>
                <w:rFonts w:ascii="Arial" w:hAnsi="Arial"/>
                <w:b/>
                <w:color w:val="1A1A1A"/>
                <w:sz w:val="18"/>
              </w:rPr>
              <w:t>Fuente</w:t>
            </w:r>
          </w:p>
          <w:p>
            <w:pPr>
              <w:spacing w:after="0"/>
            </w:pPr>
            <w:r>
              <w:rPr>
                <w:i/>
                <w:color w:val="808080"/>
                <w:sz w:val="14"/>
              </w:rPr>
              <w:t>obligatorio</w:t>
            </w:r>
          </w:p>
        </w:tc>
        <w:tc>
          <w:tcPr>
            <w:tcW w:type="dxa" w:w="1837"/>
            <w:vAlign w:val="top"/>
            <w:shd w:val="clear" w:color="auto" w:fill="F2F2F2"/>
          </w:tcPr>
          <w:p>
            <w:pPr>
              <w:spacing w:before="30" w:after="30" w:line="240" w:lineRule="auto"/>
              <w:jc w:val="left"/>
            </w:pPr>
            <w:r>
              <w:rPr>
                <w:rFonts w:ascii="Arial" w:hAnsi="Arial"/>
                <w:b/>
                <w:color w:val="1A1A1A"/>
                <w:sz w:val="18"/>
              </w:rPr>
              <w:t>Organismo</w:t>
            </w:r>
          </w:p>
          <w:p>
            <w:pPr>
              <w:spacing w:after="0"/>
            </w:pPr>
            <w:r>
              <w:rPr>
                <w:i/>
                <w:color w:val="808080"/>
                <w:sz w:val="14"/>
              </w:rPr>
              <w:t>obligatorio</w:t>
            </w:r>
          </w:p>
        </w:tc>
        <w:tc>
          <w:tcPr>
            <w:tcW w:type="dxa" w:w="2982"/>
            <w:vAlign w:val="top"/>
            <w:shd w:val="clear" w:color="auto" w:fill="F2F2F2"/>
          </w:tcPr>
          <w:p>
            <w:pPr>
              <w:spacing w:before="30" w:after="30" w:line="240" w:lineRule="auto"/>
              <w:jc w:val="left"/>
            </w:pPr>
            <w:r>
              <w:rPr>
                <w:rFonts w:ascii="Arial" w:hAnsi="Arial"/>
                <w:b/>
                <w:color w:val="1A1A1A"/>
                <w:sz w:val="18"/>
              </w:rPr>
              <w:t>Enlace</w:t>
            </w:r>
          </w:p>
          <w:p>
            <w:pPr>
              <w:spacing w:after="0"/>
            </w:pPr>
            <w:r>
              <w:rPr>
                <w:i/>
                <w:color w:val="808080"/>
                <w:sz w:val="14"/>
              </w:rPr>
              <w:t>obligatorio</w:t>
            </w:r>
          </w:p>
        </w:tc>
        <w:tc>
          <w:tcPr>
            <w:tcW w:type="dxa" w:w="2982"/>
            <w:vAlign w:val="top"/>
            <w:shd w:val="clear" w:color="auto" w:fill="F2F2F2"/>
          </w:tcPr>
          <w:p>
            <w:pPr>
              <w:spacing w:before="30" w:after="30" w:line="240" w:lineRule="auto"/>
              <w:jc w:val="left"/>
            </w:pPr>
            <w:r>
              <w:rPr>
                <w:rFonts w:ascii="Arial" w:hAnsi="Arial"/>
                <w:b/>
                <w:color w:val="1A1A1A"/>
                <w:sz w:val="18"/>
              </w:rPr>
              <w:t>Naturaleza</w:t>
            </w:r>
          </w:p>
          <w:p>
            <w:pPr>
              <w:spacing w:after="0"/>
            </w:pPr>
            <w:r>
              <w:rPr>
                <w:i/>
                <w:color w:val="808080"/>
                <w:sz w:val="14"/>
              </w:rPr>
              <w:t>obligatorio</w:t>
            </w:r>
          </w:p>
        </w:tc>
        <w:tc>
          <w:tcPr>
            <w:tcW w:type="dxa" w:w="3900"/>
            <w:vAlign w:val="top"/>
            <w:shd w:val="clear" w:color="auto" w:fill="F2F2F2"/>
          </w:tcPr>
          <w:p>
            <w:pPr>
              <w:spacing w:before="30" w:after="30" w:line="240" w:lineRule="auto"/>
              <w:jc w:val="left"/>
            </w:pPr>
            <w:r>
              <w:rPr>
                <w:rFonts w:ascii="Arial" w:hAnsi="Arial"/>
                <w:b/>
                <w:color w:val="1A1A1A"/>
                <w:sz w:val="18"/>
              </w:rPr>
              <w:t>Para qué se usa en el libro</w:t>
            </w:r>
          </w:p>
          <w:p>
            <w:pPr>
              <w:spacing w:after="0"/>
            </w:pPr>
            <w:r>
              <w:rPr>
                <w:i/>
                <w:color w:val="808080"/>
                <w:sz w:val="14"/>
              </w:rPr>
              <w:t>obligatorio</w:t>
            </w:r>
          </w:p>
        </w:tc>
      </w:tr>
      <w:tr>
        <w:trPr>
          <w:cantSplit/>
        </w:trPr>
        <w:tc>
          <w:tcPr>
            <w:tcW w:type="dxa" w:w="3441"/>
            <w:vAlign w:val="top"/>
          </w:tcPr>
          <w:p>
            <w:pPr>
              <w:spacing w:before="30" w:after="30" w:line="240" w:lineRule="auto"/>
              <w:jc w:val="left"/>
            </w:pPr>
            <w:r>
              <w:rPr>
                <w:rFonts w:ascii="Arial" w:hAnsi="Arial"/>
                <w:b w:val="0"/>
                <w:color w:val="1A1A1A"/>
                <w:sz w:val="18"/>
              </w:rPr>
            </w:r>
          </w:p>
        </w:tc>
        <w:tc>
          <w:tcPr>
            <w:tcW w:type="dxa" w:w="1837"/>
            <w:vAlign w:val="top"/>
          </w:tcPr>
          <w:p>
            <w:pPr>
              <w:spacing w:before="30" w:after="30" w:line="240" w:lineRule="auto"/>
              <w:jc w:val="left"/>
            </w:pPr>
            <w:r>
              <w:rPr>
                <w:rFonts w:ascii="Arial" w:hAnsi="Arial"/>
                <w:b w:val="0"/>
                <w:color w:val="1A1A1A"/>
                <w:sz w:val="18"/>
              </w:rPr>
            </w:r>
          </w:p>
        </w:tc>
        <w:tc>
          <w:tcPr>
            <w:tcW w:type="dxa" w:w="2982"/>
            <w:vAlign w:val="top"/>
          </w:tcPr>
          <w:p>
            <w:pPr>
              <w:spacing w:before="30" w:after="30" w:line="240" w:lineRule="auto"/>
              <w:jc w:val="left"/>
            </w:pPr>
            <w:r>
              <w:rPr>
                <w:rFonts w:ascii="Arial" w:hAnsi="Arial"/>
                <w:b w:val="0"/>
                <w:color w:val="1A1A1A"/>
                <w:sz w:val="18"/>
              </w:rPr>
            </w:r>
          </w:p>
        </w:tc>
        <w:tc>
          <w:tcPr>
            <w:tcW w:type="dxa" w:w="2982"/>
            <w:vAlign w:val="top"/>
          </w:tcPr>
          <w:p>
            <w:pPr>
              <w:spacing w:before="30" w:after="30" w:line="240" w:lineRule="auto"/>
              <w:jc w:val="left"/>
            </w:pPr>
            <w:r>
              <w:rPr>
                <w:rFonts w:ascii="Arial" w:hAnsi="Arial"/>
                <w:b w:val="0"/>
                <w:color w:val="1A1A1A"/>
                <w:sz w:val="18"/>
              </w:rPr>
            </w:r>
          </w:p>
        </w:tc>
        <w:tc>
          <w:tcPr>
            <w:tcW w:type="dxa" w:w="3900"/>
            <w:vAlign w:val="top"/>
          </w:tcPr>
          <w:p>
            <w:pPr>
              <w:spacing w:before="30" w:after="30" w:line="240" w:lineRule="auto"/>
              <w:jc w:val="left"/>
            </w:pPr>
            <w:r>
              <w:rPr>
                <w:rFonts w:ascii="Arial" w:hAnsi="Arial"/>
                <w:b w:val="0"/>
                <w:color w:val="1A1A1A"/>
                <w:sz w:val="18"/>
              </w:rPr>
            </w:r>
          </w:p>
        </w:tc>
      </w:tr>
      <w:tr>
        <w:trPr>
          <w:cantSplit/>
        </w:trPr>
        <w:tc>
          <w:tcPr>
            <w:tcW w:type="dxa" w:w="3441"/>
            <w:vAlign w:val="top"/>
          </w:tcPr>
          <w:p>
            <w:pPr>
              <w:spacing w:before="30" w:after="30" w:line="240" w:lineRule="auto"/>
              <w:jc w:val="left"/>
            </w:pPr>
            <w:r>
              <w:rPr>
                <w:rFonts w:ascii="Arial" w:hAnsi="Arial"/>
                <w:b w:val="0"/>
                <w:color w:val="1A1A1A"/>
                <w:sz w:val="18"/>
              </w:rPr>
            </w:r>
          </w:p>
        </w:tc>
        <w:tc>
          <w:tcPr>
            <w:tcW w:type="dxa" w:w="1837"/>
            <w:vAlign w:val="top"/>
          </w:tcPr>
          <w:p>
            <w:pPr>
              <w:spacing w:before="30" w:after="30" w:line="240" w:lineRule="auto"/>
              <w:jc w:val="left"/>
            </w:pPr>
            <w:r>
              <w:rPr>
                <w:rFonts w:ascii="Arial" w:hAnsi="Arial"/>
                <w:b w:val="0"/>
                <w:color w:val="1A1A1A"/>
                <w:sz w:val="18"/>
              </w:rPr>
            </w:r>
          </w:p>
        </w:tc>
        <w:tc>
          <w:tcPr>
            <w:tcW w:type="dxa" w:w="2982"/>
            <w:vAlign w:val="top"/>
          </w:tcPr>
          <w:p>
            <w:pPr>
              <w:spacing w:before="30" w:after="30" w:line="240" w:lineRule="auto"/>
              <w:jc w:val="left"/>
            </w:pPr>
            <w:r>
              <w:rPr>
                <w:rFonts w:ascii="Arial" w:hAnsi="Arial"/>
                <w:b w:val="0"/>
                <w:color w:val="1A1A1A"/>
                <w:sz w:val="18"/>
              </w:rPr>
            </w:r>
          </w:p>
        </w:tc>
        <w:tc>
          <w:tcPr>
            <w:tcW w:type="dxa" w:w="2982"/>
            <w:vAlign w:val="top"/>
          </w:tcPr>
          <w:p>
            <w:pPr>
              <w:spacing w:before="30" w:after="30" w:line="240" w:lineRule="auto"/>
              <w:jc w:val="left"/>
            </w:pPr>
            <w:r>
              <w:rPr>
                <w:rFonts w:ascii="Arial" w:hAnsi="Arial"/>
                <w:b w:val="0"/>
                <w:color w:val="1A1A1A"/>
                <w:sz w:val="18"/>
              </w:rPr>
            </w:r>
          </w:p>
        </w:tc>
        <w:tc>
          <w:tcPr>
            <w:tcW w:type="dxa" w:w="3900"/>
            <w:vAlign w:val="top"/>
          </w:tcPr>
          <w:p>
            <w:pPr>
              <w:spacing w:before="30" w:after="30" w:line="240" w:lineRule="auto"/>
              <w:jc w:val="left"/>
            </w:pPr>
            <w:r>
              <w:rPr>
                <w:rFonts w:ascii="Arial" w:hAnsi="Arial"/>
                <w:b w:val="0"/>
                <w:color w:val="1A1A1A"/>
                <w:sz w:val="18"/>
              </w:rPr>
            </w:r>
          </w:p>
        </w:tc>
      </w:tr>
      <w:tr>
        <w:trPr>
          <w:cantSplit/>
        </w:trPr>
        <w:tc>
          <w:tcPr>
            <w:tcW w:type="dxa" w:w="3441"/>
            <w:vAlign w:val="top"/>
          </w:tcPr>
          <w:p>
            <w:pPr>
              <w:spacing w:before="30" w:after="30" w:line="240" w:lineRule="auto"/>
              <w:jc w:val="left"/>
            </w:pPr>
            <w:r>
              <w:rPr>
                <w:rFonts w:ascii="Arial" w:hAnsi="Arial"/>
                <w:b w:val="0"/>
                <w:color w:val="1A1A1A"/>
                <w:sz w:val="18"/>
              </w:rPr>
            </w:r>
          </w:p>
        </w:tc>
        <w:tc>
          <w:tcPr>
            <w:tcW w:type="dxa" w:w="1837"/>
            <w:vAlign w:val="top"/>
          </w:tcPr>
          <w:p>
            <w:pPr>
              <w:spacing w:before="30" w:after="30" w:line="240" w:lineRule="auto"/>
              <w:jc w:val="left"/>
            </w:pPr>
            <w:r>
              <w:rPr>
                <w:rFonts w:ascii="Arial" w:hAnsi="Arial"/>
                <w:b w:val="0"/>
                <w:color w:val="1A1A1A"/>
                <w:sz w:val="18"/>
              </w:rPr>
            </w:r>
          </w:p>
        </w:tc>
        <w:tc>
          <w:tcPr>
            <w:tcW w:type="dxa" w:w="2982"/>
            <w:vAlign w:val="top"/>
          </w:tcPr>
          <w:p>
            <w:pPr>
              <w:spacing w:before="30" w:after="30" w:line="240" w:lineRule="auto"/>
              <w:jc w:val="left"/>
            </w:pPr>
            <w:r>
              <w:rPr>
                <w:rFonts w:ascii="Arial" w:hAnsi="Arial"/>
                <w:b w:val="0"/>
                <w:color w:val="1A1A1A"/>
                <w:sz w:val="18"/>
              </w:rPr>
            </w:r>
          </w:p>
        </w:tc>
        <w:tc>
          <w:tcPr>
            <w:tcW w:type="dxa" w:w="2982"/>
            <w:vAlign w:val="top"/>
          </w:tcPr>
          <w:p>
            <w:pPr>
              <w:spacing w:before="30" w:after="30" w:line="240" w:lineRule="auto"/>
              <w:jc w:val="left"/>
            </w:pPr>
            <w:r>
              <w:rPr>
                <w:rFonts w:ascii="Arial" w:hAnsi="Arial"/>
                <w:b w:val="0"/>
                <w:color w:val="1A1A1A"/>
                <w:sz w:val="18"/>
              </w:rPr>
            </w:r>
          </w:p>
        </w:tc>
        <w:tc>
          <w:tcPr>
            <w:tcW w:type="dxa" w:w="3900"/>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2.3. Resoluciones judiciales citadas</w:t>
      </w:r>
    </w:p>
    <w:p>
      <w:pPr>
        <w:keepNext/>
        <w:spacing w:after="40" w:before="0" w:line="264" w:lineRule="auto"/>
      </w:pPr>
      <w:r>
        <w:rPr>
          <w:rFonts w:ascii="Arial" w:hAnsi="Arial"/>
          <w:b/>
          <w:i w:val="0"/>
          <w:color w:val="1A1A1A"/>
          <w:sz w:val="19"/>
        </w:rPr>
        <w:t>I.3. Resoluciones citadas en el libro, con su naturaleza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028"/>
        <w:gridCol w:w="3028"/>
        <w:gridCol w:w="3028"/>
        <w:gridCol w:w="3028"/>
        <w:gridCol w:w="3028"/>
      </w:tblGrid>
      <w:tr>
        <w:trPr>
          <w:tblHeader w:val="true"/>
          <w:cantSplit/>
        </w:trPr>
        <w:tc>
          <w:tcPr>
            <w:tcW w:type="dxa" w:w="3163"/>
            <w:vAlign w:val="top"/>
            <w:shd w:val="clear" w:color="auto" w:fill="F2F2F2"/>
          </w:tcPr>
          <w:p>
            <w:pPr>
              <w:spacing w:before="30" w:after="30" w:line="240" w:lineRule="auto"/>
              <w:jc w:val="left"/>
            </w:pPr>
            <w:r>
              <w:rPr>
                <w:rFonts w:ascii="Arial" w:hAnsi="Arial"/>
                <w:b/>
                <w:color w:val="1A1A1A"/>
                <w:sz w:val="18"/>
              </w:rPr>
              <w:t>Resolución</w:t>
            </w:r>
          </w:p>
          <w:p>
            <w:pPr>
              <w:spacing w:after="0"/>
            </w:pPr>
            <w:r>
              <w:rPr>
                <w:i/>
                <w:color w:val="808080"/>
                <w:sz w:val="14"/>
              </w:rPr>
              <w:t>obligatorio</w:t>
            </w:r>
          </w:p>
        </w:tc>
        <w:tc>
          <w:tcPr>
            <w:tcW w:type="dxa" w:w="2035"/>
            <w:vAlign w:val="top"/>
            <w:shd w:val="clear" w:color="auto" w:fill="F2F2F2"/>
          </w:tcPr>
          <w:p>
            <w:pPr>
              <w:spacing w:before="30" w:after="30" w:line="240" w:lineRule="auto"/>
              <w:jc w:val="left"/>
            </w:pPr>
            <w:r>
              <w:rPr>
                <w:rFonts w:ascii="Arial" w:hAnsi="Arial"/>
                <w:b/>
                <w:color w:val="1A1A1A"/>
                <w:sz w:val="18"/>
              </w:rPr>
              <w:t>Órgano</w:t>
            </w:r>
          </w:p>
          <w:p>
            <w:pPr>
              <w:spacing w:after="0"/>
            </w:pPr>
            <w:r>
              <w:rPr>
                <w:i/>
                <w:color w:val="808080"/>
                <w:sz w:val="14"/>
              </w:rPr>
              <w:t>obligatorio</w:t>
            </w:r>
          </w:p>
        </w:tc>
        <w:tc>
          <w:tcPr>
            <w:tcW w:type="dxa" w:w="3617"/>
            <w:vAlign w:val="top"/>
            <w:shd w:val="clear" w:color="auto" w:fill="F2F2F2"/>
          </w:tcPr>
          <w:p>
            <w:pPr>
              <w:spacing w:before="30" w:after="30" w:line="240" w:lineRule="auto"/>
              <w:jc w:val="left"/>
            </w:pPr>
            <w:r>
              <w:rPr>
                <w:rFonts w:ascii="Arial" w:hAnsi="Arial"/>
                <w:b/>
                <w:color w:val="1A1A1A"/>
                <w:sz w:val="18"/>
              </w:rPr>
              <w:t>Qué illustrate</w:t>
            </w:r>
          </w:p>
          <w:p>
            <w:pPr>
              <w:spacing w:after="0"/>
            </w:pPr>
            <w:r>
              <w:rPr>
                <w:i/>
                <w:color w:val="808080"/>
                <w:sz w:val="14"/>
              </w:rPr>
              <w:t>obligatorio</w:t>
            </w:r>
          </w:p>
        </w:tc>
        <w:tc>
          <w:tcPr>
            <w:tcW w:type="dxa" w:w="3390"/>
            <w:vAlign w:val="top"/>
            <w:shd w:val="clear" w:color="auto" w:fill="F2F2F2"/>
          </w:tcPr>
          <w:p>
            <w:pPr>
              <w:spacing w:before="30" w:after="30" w:line="240" w:lineRule="auto"/>
              <w:jc w:val="left"/>
            </w:pPr>
            <w:r>
              <w:rPr>
                <w:rFonts w:ascii="Arial" w:hAnsi="Arial"/>
                <w:b/>
                <w:color w:val="1A1A1A"/>
                <w:sz w:val="18"/>
              </w:rPr>
              <w:t>Naturaleza</w:t>
            </w:r>
          </w:p>
          <w:p>
            <w:pPr>
              <w:spacing w:after="0"/>
            </w:pPr>
            <w:r>
              <w:rPr>
                <w:i/>
                <w:color w:val="808080"/>
                <w:sz w:val="14"/>
              </w:rPr>
              <w:t>obligatorio</w:t>
            </w:r>
          </w:p>
        </w:tc>
        <w:tc>
          <w:tcPr>
            <w:tcW w:type="dxa" w:w="2937"/>
            <w:vAlign w:val="top"/>
            <w:shd w:val="clear" w:color="auto" w:fill="F2F2F2"/>
          </w:tcPr>
          <w:p>
            <w:pPr>
              <w:spacing w:before="30" w:after="30" w:line="240" w:lineRule="auto"/>
              <w:jc w:val="left"/>
            </w:pPr>
            <w:r>
              <w:rPr>
                <w:rFonts w:ascii="Arial" w:hAnsi="Arial"/>
                <w:b/>
                <w:color w:val="1A1A1A"/>
                <w:sz w:val="18"/>
              </w:rPr>
              <w:t>Enlace</w:t>
            </w:r>
          </w:p>
          <w:p>
            <w:pPr>
              <w:spacing w:after="0"/>
            </w:pPr>
            <w:r>
              <w:rPr>
                <w:i/>
                <w:color w:val="808080"/>
                <w:sz w:val="14"/>
              </w:rPr>
              <w:t>obligatorio</w:t>
            </w:r>
          </w:p>
        </w:tc>
      </w:tr>
      <w:tr>
        <w:trPr>
          <w:cantSplit/>
        </w:trPr>
        <w:tc>
          <w:tcPr>
            <w:tcW w:type="dxa" w:w="3163"/>
            <w:vAlign w:val="top"/>
          </w:tcPr>
          <w:p>
            <w:pPr>
              <w:spacing w:before="30" w:after="30" w:line="240" w:lineRule="auto"/>
              <w:jc w:val="left"/>
            </w:pPr>
            <w:r>
              <w:rPr>
                <w:rFonts w:ascii="Arial" w:hAnsi="Arial"/>
                <w:b w:val="0"/>
                <w:color w:val="1A1A1A"/>
                <w:sz w:val="18"/>
              </w:rPr>
            </w:r>
          </w:p>
        </w:tc>
        <w:tc>
          <w:tcPr>
            <w:tcW w:type="dxa" w:w="2035"/>
            <w:vAlign w:val="top"/>
          </w:tcPr>
          <w:p>
            <w:pPr>
              <w:spacing w:before="30" w:after="30" w:line="240" w:lineRule="auto"/>
              <w:jc w:val="left"/>
            </w:pPr>
            <w:r>
              <w:rPr>
                <w:rFonts w:ascii="Arial" w:hAnsi="Arial"/>
                <w:b w:val="0"/>
                <w:color w:val="1A1A1A"/>
                <w:sz w:val="18"/>
              </w:rPr>
            </w:r>
          </w:p>
        </w:tc>
        <w:tc>
          <w:tcPr>
            <w:tcW w:type="dxa" w:w="3617"/>
            <w:vAlign w:val="top"/>
          </w:tcPr>
          <w:p>
            <w:pPr>
              <w:spacing w:before="30" w:after="30" w:line="240" w:lineRule="auto"/>
              <w:jc w:val="left"/>
            </w:pPr>
            <w:r>
              <w:rPr>
                <w:rFonts w:ascii="Arial" w:hAnsi="Arial"/>
                <w:b w:val="0"/>
                <w:color w:val="1A1A1A"/>
                <w:sz w:val="18"/>
              </w:rPr>
            </w:r>
          </w:p>
        </w:tc>
        <w:tc>
          <w:tcPr>
            <w:tcW w:type="dxa" w:w="3390"/>
            <w:vAlign w:val="top"/>
          </w:tcPr>
          <w:p>
            <w:pPr>
              <w:spacing w:before="30" w:after="30" w:line="240" w:lineRule="auto"/>
              <w:jc w:val="left"/>
            </w:pPr>
            <w:r>
              <w:rPr>
                <w:rFonts w:ascii="Arial" w:hAnsi="Arial"/>
                <w:b w:val="0"/>
                <w:color w:val="1A1A1A"/>
                <w:sz w:val="18"/>
              </w:rPr>
            </w:r>
          </w:p>
        </w:tc>
        <w:tc>
          <w:tcPr>
            <w:tcW w:type="dxa" w:w="2937"/>
            <w:vAlign w:val="top"/>
          </w:tcPr>
          <w:p>
            <w:pPr>
              <w:spacing w:before="30" w:after="30" w:line="240" w:lineRule="auto"/>
              <w:jc w:val="left"/>
            </w:pPr>
            <w:r>
              <w:rPr>
                <w:rFonts w:ascii="Arial" w:hAnsi="Arial"/>
                <w:b w:val="0"/>
                <w:color w:val="1A1A1A"/>
                <w:sz w:val="18"/>
              </w:rPr>
            </w:r>
          </w:p>
        </w:tc>
      </w:tr>
      <w:tr>
        <w:trPr>
          <w:cantSplit/>
        </w:trPr>
        <w:tc>
          <w:tcPr>
            <w:tcW w:type="dxa" w:w="3163"/>
            <w:vAlign w:val="top"/>
          </w:tcPr>
          <w:p>
            <w:pPr>
              <w:spacing w:before="30" w:after="30" w:line="240" w:lineRule="auto"/>
              <w:jc w:val="left"/>
            </w:pPr>
            <w:r>
              <w:rPr>
                <w:rFonts w:ascii="Arial" w:hAnsi="Arial"/>
                <w:b w:val="0"/>
                <w:color w:val="1A1A1A"/>
                <w:sz w:val="18"/>
              </w:rPr>
            </w:r>
          </w:p>
        </w:tc>
        <w:tc>
          <w:tcPr>
            <w:tcW w:type="dxa" w:w="2035"/>
            <w:vAlign w:val="top"/>
          </w:tcPr>
          <w:p>
            <w:pPr>
              <w:spacing w:before="30" w:after="30" w:line="240" w:lineRule="auto"/>
              <w:jc w:val="left"/>
            </w:pPr>
            <w:r>
              <w:rPr>
                <w:rFonts w:ascii="Arial" w:hAnsi="Arial"/>
                <w:b w:val="0"/>
                <w:color w:val="1A1A1A"/>
                <w:sz w:val="18"/>
              </w:rPr>
            </w:r>
          </w:p>
        </w:tc>
        <w:tc>
          <w:tcPr>
            <w:tcW w:type="dxa" w:w="3617"/>
            <w:vAlign w:val="top"/>
          </w:tcPr>
          <w:p>
            <w:pPr>
              <w:spacing w:before="30" w:after="30" w:line="240" w:lineRule="auto"/>
              <w:jc w:val="left"/>
            </w:pPr>
            <w:r>
              <w:rPr>
                <w:rFonts w:ascii="Arial" w:hAnsi="Arial"/>
                <w:b w:val="0"/>
                <w:color w:val="1A1A1A"/>
                <w:sz w:val="18"/>
              </w:rPr>
            </w:r>
          </w:p>
        </w:tc>
        <w:tc>
          <w:tcPr>
            <w:tcW w:type="dxa" w:w="3390"/>
            <w:vAlign w:val="top"/>
          </w:tcPr>
          <w:p>
            <w:pPr>
              <w:spacing w:before="30" w:after="30" w:line="240" w:lineRule="auto"/>
              <w:jc w:val="left"/>
            </w:pPr>
            <w:r>
              <w:rPr>
                <w:rFonts w:ascii="Arial" w:hAnsi="Arial"/>
                <w:b w:val="0"/>
                <w:color w:val="1A1A1A"/>
                <w:sz w:val="18"/>
              </w:rPr>
            </w:r>
          </w:p>
        </w:tc>
        <w:tc>
          <w:tcPr>
            <w:tcW w:type="dxa" w:w="2937"/>
            <w:vAlign w:val="top"/>
          </w:tcPr>
          <w:p>
            <w:pPr>
              <w:spacing w:before="30" w:after="30" w:line="240" w:lineRule="auto"/>
              <w:jc w:val="left"/>
            </w:pPr>
            <w:r>
              <w:rPr>
                <w:rFonts w:ascii="Arial" w:hAnsi="Arial"/>
                <w:b w:val="0"/>
                <w:color w:val="1A1A1A"/>
                <w:sz w:val="18"/>
              </w:rPr>
            </w:r>
          </w:p>
        </w:tc>
      </w:tr>
      <w:tr>
        <w:trPr>
          <w:cantSplit/>
        </w:trPr>
        <w:tc>
          <w:tcPr>
            <w:tcW w:type="dxa" w:w="3163"/>
            <w:vAlign w:val="top"/>
          </w:tcPr>
          <w:p>
            <w:pPr>
              <w:spacing w:before="30" w:after="30" w:line="240" w:lineRule="auto"/>
              <w:jc w:val="left"/>
            </w:pPr>
            <w:r>
              <w:rPr>
                <w:rFonts w:ascii="Arial" w:hAnsi="Arial"/>
                <w:b w:val="0"/>
                <w:color w:val="1A1A1A"/>
                <w:sz w:val="18"/>
              </w:rPr>
            </w:r>
          </w:p>
        </w:tc>
        <w:tc>
          <w:tcPr>
            <w:tcW w:type="dxa" w:w="2035"/>
            <w:vAlign w:val="top"/>
          </w:tcPr>
          <w:p>
            <w:pPr>
              <w:spacing w:before="30" w:after="30" w:line="240" w:lineRule="auto"/>
              <w:jc w:val="left"/>
            </w:pPr>
            <w:r>
              <w:rPr>
                <w:rFonts w:ascii="Arial" w:hAnsi="Arial"/>
                <w:b w:val="0"/>
                <w:color w:val="1A1A1A"/>
                <w:sz w:val="18"/>
              </w:rPr>
            </w:r>
          </w:p>
        </w:tc>
        <w:tc>
          <w:tcPr>
            <w:tcW w:type="dxa" w:w="3617"/>
            <w:vAlign w:val="top"/>
          </w:tcPr>
          <w:p>
            <w:pPr>
              <w:spacing w:before="30" w:after="30" w:line="240" w:lineRule="auto"/>
              <w:jc w:val="left"/>
            </w:pPr>
            <w:r>
              <w:rPr>
                <w:rFonts w:ascii="Arial" w:hAnsi="Arial"/>
                <w:b w:val="0"/>
                <w:color w:val="1A1A1A"/>
                <w:sz w:val="18"/>
              </w:rPr>
            </w:r>
          </w:p>
        </w:tc>
        <w:tc>
          <w:tcPr>
            <w:tcW w:type="dxa" w:w="3390"/>
            <w:vAlign w:val="top"/>
          </w:tcPr>
          <w:p>
            <w:pPr>
              <w:spacing w:before="30" w:after="30" w:line="240" w:lineRule="auto"/>
              <w:jc w:val="left"/>
            </w:pPr>
            <w:r>
              <w:rPr>
                <w:rFonts w:ascii="Arial" w:hAnsi="Arial"/>
                <w:b w:val="0"/>
                <w:color w:val="1A1A1A"/>
                <w:sz w:val="18"/>
              </w:rPr>
            </w:r>
          </w:p>
        </w:tc>
        <w:tc>
          <w:tcPr>
            <w:tcW w:type="dxa" w:w="2937"/>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Las tres resoluciones anteriores se conservan en el libro con la marca de pendiente de verificación. No se han podido comprobar en la fuente judicial durante la preparación de esta edición, y presentarlas como confirmadas sería dar por hecho algo que no está comprobado. Un técnico que necesite citarlas debe abrir la fuente y comprobar su texto íntegro, su estado y el procedimiento aplicable.</w:t>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revisión del anexo</w:t>
            </w:r>
          </w:p>
        </w:tc>
        <w:tc>
          <w:tcPr>
            <w:tcW w:type="dxa" w:w="12189"/>
            <w:vAlign w:val="top"/>
          </w:tcPr>
          <w:p>
            <w:pPr>
              <w:spacing w:before="30" w:after="30" w:line="240" w:lineRule="auto"/>
              <w:jc w:val="left"/>
            </w:pPr>
            <w:r>
              <w:rPr>
                <w:rFonts w:ascii="Arial" w:hAnsi="Arial"/>
                <w:b w:val="0"/>
                <w:color w:val="1A1A1A"/>
                <w:sz w:val="18"/>
              </w:rPr>
              <w:t>25/10/2026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Ámbito</w:t>
            </w:r>
          </w:p>
        </w:tc>
        <w:tc>
          <w:tcPr>
            <w:tcW w:type="dxa" w:w="12189"/>
            <w:vAlign w:val="top"/>
          </w:tcPr>
          <w:p>
            <w:pPr>
              <w:spacing w:before="30" w:after="30" w:line="240" w:lineRule="auto"/>
              <w:jc w:val="left"/>
            </w:pPr>
            <w:r>
              <w:rPr>
                <w:rFonts w:ascii="Arial" w:hAnsi="Arial"/>
                <w:b w:val="0"/>
                <w:color w:val="1A1A1A"/>
                <w:sz w:val="18"/>
              </w:rPr>
              <w:t>España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Normas en el listado</w:t>
            </w:r>
          </w:p>
        </w:tc>
        <w:tc>
          <w:tcPr>
            <w:tcW w:type="dxa" w:w="12189"/>
            <w:vAlign w:val="top"/>
          </w:tcPr>
          <w:p>
            <w:pPr>
              <w:spacing w:before="30" w:after="30" w:line="240" w:lineRule="auto"/>
              <w:jc w:val="left"/>
            </w:pPr>
            <w:r>
              <w:rPr>
                <w:rFonts w:ascii="Arial" w:hAnsi="Arial"/>
                <w:b w:val="0"/>
                <w:color w:val="1A1A1A"/>
                <w:sz w:val="18"/>
              </w:rPr>
              <w:t>14 (2 leyes y 12 reales decretos)</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Fuentes técnicas</w:t>
            </w:r>
          </w:p>
        </w:tc>
        <w:tc>
          <w:tcPr>
            <w:tcW w:type="dxa" w:w="12189"/>
            <w:vAlign w:val="top"/>
          </w:tcPr>
          <w:p>
            <w:pPr>
              <w:spacing w:before="30" w:after="30" w:line="240" w:lineRule="auto"/>
              <w:jc w:val="left"/>
            </w:pPr>
            <w:r>
              <w:rPr>
                <w:rFonts w:ascii="Arial" w:hAnsi="Arial"/>
                <w:b w:val="0"/>
                <w:color w:val="1A1A1A"/>
                <w:sz w:val="18"/>
              </w:rPr>
              <w:t>3</w:t>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2.1. Normativa citada en el libro</w:t>
      </w:r>
    </w:p>
    <w:p>
      <w:pPr>
        <w:keepNext/>
        <w:spacing w:after="40" w:before="0" w:line="264" w:lineRule="auto"/>
      </w:pPr>
      <w:r>
        <w:rPr>
          <w:rFonts w:ascii="Arial" w:hAnsi="Arial"/>
          <w:b/>
          <w:i w:val="0"/>
          <w:color w:val="1A1A1A"/>
          <w:sz w:val="19"/>
        </w:rPr>
        <w:t>I.1. Normativa citada, con su referencia oficial y su enlace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2523"/>
        <w:gridCol w:w="2523"/>
        <w:gridCol w:w="2523"/>
        <w:gridCol w:w="2523"/>
        <w:gridCol w:w="2523"/>
        <w:gridCol w:w="2523"/>
      </w:tblGrid>
      <w:tr>
        <w:trPr>
          <w:tblHeader w:val="true"/>
          <w:cantSplit/>
        </w:trPr>
        <w:tc>
          <w:tcPr>
            <w:tcW w:type="dxa" w:w="3186"/>
            <w:vAlign w:val="top"/>
            <w:shd w:val="clear" w:color="auto" w:fill="F2F2F2"/>
          </w:tcPr>
          <w:p>
            <w:pPr>
              <w:spacing w:before="30" w:after="30" w:line="240" w:lineRule="auto"/>
              <w:jc w:val="left"/>
            </w:pPr>
            <w:r>
              <w:rPr>
                <w:rFonts w:ascii="Arial" w:hAnsi="Arial"/>
                <w:b/>
                <w:color w:val="1A1A1A"/>
                <w:sz w:val="18"/>
              </w:rPr>
              <w:t>Norma</w:t>
            </w:r>
          </w:p>
          <w:p>
            <w:pPr>
              <w:spacing w:after="0"/>
            </w:pPr>
            <w:r>
              <w:rPr>
                <w:i/>
                <w:color w:val="808080"/>
                <w:sz w:val="14"/>
              </w:rPr>
              <w:t>obligatorio</w:t>
            </w:r>
          </w:p>
        </w:tc>
        <w:tc>
          <w:tcPr>
            <w:tcW w:type="dxa" w:w="2392"/>
            <w:vAlign w:val="top"/>
            <w:shd w:val="clear" w:color="auto" w:fill="F2F2F2"/>
          </w:tcPr>
          <w:p>
            <w:pPr>
              <w:spacing w:before="30" w:after="30" w:line="240" w:lineRule="auto"/>
              <w:jc w:val="left"/>
            </w:pPr>
            <w:r>
              <w:rPr>
                <w:rFonts w:ascii="Arial" w:hAnsi="Arial"/>
                <w:b/>
                <w:color w:val="1A1A1A"/>
                <w:sz w:val="18"/>
              </w:rPr>
              <w:t>Referencia oficial</w:t>
            </w:r>
          </w:p>
          <w:p>
            <w:pPr>
              <w:spacing w:after="0"/>
            </w:pPr>
            <w:r>
              <w:rPr>
                <w:i/>
                <w:color w:val="808080"/>
                <w:sz w:val="14"/>
              </w:rPr>
              <w:t>obligatorio</w:t>
            </w:r>
          </w:p>
        </w:tc>
        <w:tc>
          <w:tcPr>
            <w:tcW w:type="dxa" w:w="2988"/>
            <w:vAlign w:val="top"/>
            <w:shd w:val="clear" w:color="auto" w:fill="F2F2F2"/>
          </w:tcPr>
          <w:p>
            <w:pPr>
              <w:spacing w:before="30" w:after="30" w:line="240" w:lineRule="auto"/>
              <w:jc w:val="left"/>
            </w:pPr>
            <w:r>
              <w:rPr>
                <w:rFonts w:ascii="Arial" w:hAnsi="Arial"/>
                <w:b/>
                <w:color w:val="1A1A1A"/>
                <w:sz w:val="18"/>
              </w:rPr>
              <w:t>Enlace al texto consolidado en el BOE</w:t>
            </w:r>
          </w:p>
          <w:p>
            <w:pPr>
              <w:spacing w:after="0"/>
            </w:pPr>
            <w:r>
              <w:rPr>
                <w:i/>
                <w:color w:val="808080"/>
                <w:sz w:val="14"/>
              </w:rPr>
              <w:t>obligatorio</w:t>
            </w:r>
          </w:p>
        </w:tc>
        <w:tc>
          <w:tcPr>
            <w:tcW w:type="dxa" w:w="1593"/>
            <w:vAlign w:val="top"/>
            <w:shd w:val="clear" w:color="auto" w:fill="F2F2F2"/>
          </w:tcPr>
          <w:p>
            <w:pPr>
              <w:spacing w:before="30" w:after="30" w:line="240" w:lineRule="auto"/>
              <w:jc w:val="left"/>
            </w:pPr>
            <w:r>
              <w:rPr>
                <w:rFonts w:ascii="Arial" w:hAnsi="Arial"/>
                <w:b/>
                <w:color w:val="1A1A1A"/>
                <w:sz w:val="18"/>
              </w:rPr>
              <w:t>Fecha de última actualización (verificada)</w:t>
            </w:r>
          </w:p>
          <w:p>
            <w:pPr>
              <w:spacing w:after="0"/>
            </w:pPr>
            <w:r>
              <w:rPr>
                <w:i/>
                <w:color w:val="808080"/>
                <w:sz w:val="14"/>
              </w:rPr>
              <w:t>obligatorio</w:t>
            </w:r>
          </w:p>
        </w:tc>
        <w:tc>
          <w:tcPr>
            <w:tcW w:type="dxa" w:w="1593"/>
            <w:vAlign w:val="top"/>
            <w:shd w:val="clear" w:color="auto" w:fill="F2F2F2"/>
          </w:tcPr>
          <w:p>
            <w:pPr>
              <w:spacing w:before="30" w:after="30" w:line="240" w:lineRule="auto"/>
              <w:jc w:val="left"/>
            </w:pPr>
            <w:r>
              <w:rPr>
                <w:rFonts w:ascii="Arial" w:hAnsi="Arial"/>
                <w:b/>
                <w:color w:val="1A1A1A"/>
                <w:sz w:val="18"/>
              </w:rPr>
              <w:t>Fecha de consulta</w:t>
            </w:r>
          </w:p>
          <w:p>
            <w:pPr>
              <w:spacing w:after="0"/>
            </w:pPr>
            <w:r>
              <w:rPr>
                <w:i/>
                <w:color w:val="808080"/>
                <w:sz w:val="14"/>
              </w:rPr>
              <w:t>obligatorio</w:t>
            </w:r>
          </w:p>
        </w:tc>
        <w:tc>
          <w:tcPr>
            <w:tcW w:type="dxa" w:w="3385"/>
            <w:vAlign w:val="top"/>
            <w:shd w:val="clear" w:color="auto" w:fill="F2F2F2"/>
          </w:tcPr>
          <w:p>
            <w:pPr>
              <w:spacing w:before="30" w:after="30" w:line="240" w:lineRule="auto"/>
              <w:jc w:val="left"/>
            </w:pPr>
            <w:r>
              <w:rPr>
                <w:rFonts w:ascii="Arial" w:hAnsi="Arial"/>
                <w:b/>
                <w:color w:val="1A1A1A"/>
                <w:sz w:val="18"/>
              </w:rPr>
              <w:t>Qué regula en este libro</w:t>
            </w:r>
          </w:p>
          <w:p>
            <w:pPr>
              <w:spacing w:after="0"/>
            </w:pPr>
            <w:r>
              <w:rPr>
                <w:i/>
                <w:color w:val="808080"/>
                <w:sz w:val="14"/>
              </w:rPr>
              <w:t>obligatorio</w:t>
            </w:r>
          </w:p>
        </w:tc>
      </w:tr>
      <w:tr>
        <w:trPr>
          <w:cantSplit/>
        </w:trPr>
        <w:tc>
          <w:tcPr>
            <w:tcW w:type="dxa" w:w="3186"/>
            <w:vAlign w:val="top"/>
          </w:tcPr>
          <w:p>
            <w:pPr>
              <w:spacing w:before="30" w:after="30" w:line="240" w:lineRule="auto"/>
              <w:jc w:val="left"/>
            </w:pPr>
            <w:r>
              <w:rPr>
                <w:rFonts w:ascii="Arial" w:hAnsi="Arial"/>
                <w:b w:val="0"/>
                <w:color w:val="1A1A1A"/>
                <w:sz w:val="18"/>
              </w:rPr>
              <w:t>Ley 31/1995, de Prevención de Riesgos Laborales</w:t>
            </w:r>
          </w:p>
        </w:tc>
        <w:tc>
          <w:tcPr>
            <w:tcW w:type="dxa" w:w="2392"/>
            <w:vAlign w:val="top"/>
          </w:tcPr>
          <w:p>
            <w:pPr>
              <w:spacing w:before="30" w:after="30" w:line="240" w:lineRule="auto"/>
              <w:jc w:val="left"/>
            </w:pPr>
            <w:r>
              <w:rPr>
                <w:rFonts w:ascii="Arial" w:hAnsi="Arial"/>
                <w:b w:val="0"/>
                <w:color w:val="1A1A1A"/>
                <w:sz w:val="18"/>
              </w:rPr>
              <w:t>BOE-A-1995-24292</w:t>
            </w:r>
          </w:p>
        </w:tc>
        <w:tc>
          <w:tcPr>
            <w:tcW w:type="dxa" w:w="2988"/>
            <w:vAlign w:val="top"/>
          </w:tcPr>
          <w:p>
            <w:pPr>
              <w:spacing w:before="30" w:after="30" w:line="240" w:lineRule="auto"/>
              <w:jc w:val="left"/>
            </w:pPr>
            <w:r>
              <w:rPr>
                <w:rFonts w:ascii="Arial" w:hAnsi="Arial"/>
                <w:b w:val="0"/>
                <w:color w:val="1A1A1A"/>
                <w:sz w:val="18"/>
              </w:rPr>
              <w:t>https://www.boe.es/buscar/act.php?id=BOE-A-1995-24292</w:t>
            </w:r>
          </w:p>
        </w:tc>
        <w:tc>
          <w:tcPr>
            <w:tcW w:type="dxa" w:w="1593"/>
            <w:vAlign w:val="top"/>
          </w:tcPr>
          <w:p>
            <w:pPr>
              <w:spacing w:before="30" w:after="30" w:line="240" w:lineRule="auto"/>
              <w:jc w:val="left"/>
            </w:pPr>
            <w:r>
              <w:rPr>
                <w:rFonts w:ascii="Arial" w:hAnsi="Arial"/>
                <w:b w:val="0"/>
                <w:color w:val="1A1A1A"/>
                <w:sz w:val="18"/>
              </w:rPr>
              <w:t>09/04/2026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Obligaciones del empresario: información, formación, medios de protección, coordinación, derecho a interrumpir y deber de subsanar</w:t>
            </w:r>
          </w:p>
        </w:tc>
      </w:tr>
      <w:tr>
        <w:trPr>
          <w:cantSplit/>
        </w:trPr>
        <w:tc>
          <w:tcPr>
            <w:tcW w:type="dxa" w:w="3186"/>
            <w:vAlign w:val="top"/>
          </w:tcPr>
          <w:p>
            <w:pPr>
              <w:spacing w:before="30" w:after="30" w:line="240" w:lineRule="auto"/>
              <w:jc w:val="left"/>
            </w:pPr>
            <w:r>
              <w:rPr>
                <w:rFonts w:ascii="Arial" w:hAnsi="Arial"/>
                <w:b w:val="0"/>
                <w:color w:val="1A1A1A"/>
                <w:sz w:val="18"/>
              </w:rPr>
              <w:t>Código Penal (Ley Orgánica 10/1995)</w:t>
            </w:r>
          </w:p>
        </w:tc>
        <w:tc>
          <w:tcPr>
            <w:tcW w:type="dxa" w:w="2392"/>
            <w:vAlign w:val="top"/>
          </w:tcPr>
          <w:p>
            <w:pPr>
              <w:spacing w:before="30" w:after="30" w:line="240" w:lineRule="auto"/>
              <w:jc w:val="left"/>
            </w:pPr>
            <w:r>
              <w:rPr>
                <w:rFonts w:ascii="Arial" w:hAnsi="Arial"/>
                <w:b w:val="0"/>
                <w:color w:val="1A1A1A"/>
                <w:sz w:val="18"/>
              </w:rPr>
              <w:t>BOE-A-1995-25444</w:t>
            </w:r>
          </w:p>
        </w:tc>
        <w:tc>
          <w:tcPr>
            <w:tcW w:type="dxa" w:w="2988"/>
            <w:vAlign w:val="top"/>
          </w:tcPr>
          <w:p>
            <w:pPr>
              <w:spacing w:before="30" w:after="30" w:line="240" w:lineRule="auto"/>
              <w:jc w:val="left"/>
            </w:pPr>
            <w:r>
              <w:rPr>
                <w:rFonts w:ascii="Arial" w:hAnsi="Arial"/>
                <w:b w:val="0"/>
                <w:color w:val="1A1A1A"/>
                <w:sz w:val="18"/>
              </w:rPr>
              <w:t>https://www.boe.es/buscar/act.php?id=BOE-A-1995-25444</w:t>
            </w:r>
          </w:p>
        </w:tc>
        <w:tc>
          <w:tcPr>
            <w:tcW w:type="dxa" w:w="1593"/>
            <w:vAlign w:val="top"/>
          </w:tcPr>
          <w:p>
            <w:pPr>
              <w:spacing w:before="30" w:after="30" w:line="240" w:lineRule="auto"/>
              <w:jc w:val="left"/>
            </w:pPr>
            <w:r>
              <w:rPr>
                <w:rFonts w:ascii="Arial" w:hAnsi="Arial"/>
                <w:b w:val="0"/>
                <w:color w:val="1A1A1A"/>
                <w:sz w:val="18"/>
              </w:rPr>
              <w:t>09/04/2026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Arts. 316, 317 y 318: responsabilidad penal de la empresa, imprudencia grave y atribución a administradores</w:t>
            </w:r>
          </w:p>
        </w:tc>
      </w:tr>
      <w:tr>
        <w:trPr>
          <w:cantSplit/>
        </w:trPr>
        <w:tc>
          <w:tcPr>
            <w:tcW w:type="dxa" w:w="3186"/>
            <w:vAlign w:val="top"/>
          </w:tcPr>
          <w:p>
            <w:pPr>
              <w:spacing w:before="30" w:after="30" w:line="240" w:lineRule="auto"/>
              <w:jc w:val="left"/>
            </w:pPr>
            <w:r>
              <w:rPr>
                <w:rFonts w:ascii="Arial" w:hAnsi="Arial"/>
                <w:b w:val="0"/>
                <w:color w:val="1A1A1A"/>
                <w:sz w:val="18"/>
              </w:rPr>
              <w:t>Real Decreto 1627/1997, sobre obras de construcción</w:t>
            </w:r>
          </w:p>
        </w:tc>
        <w:tc>
          <w:tcPr>
            <w:tcW w:type="dxa" w:w="2392"/>
            <w:vAlign w:val="top"/>
          </w:tcPr>
          <w:p>
            <w:pPr>
              <w:spacing w:before="30" w:after="30" w:line="240" w:lineRule="auto"/>
              <w:jc w:val="left"/>
            </w:pPr>
            <w:r>
              <w:rPr>
                <w:rFonts w:ascii="Arial" w:hAnsi="Arial"/>
                <w:b w:val="0"/>
                <w:color w:val="1A1A1A"/>
                <w:sz w:val="18"/>
              </w:rPr>
              <w:t>BOE-A-1997-22614</w:t>
            </w:r>
          </w:p>
        </w:tc>
        <w:tc>
          <w:tcPr>
            <w:tcW w:type="dxa" w:w="2988"/>
            <w:vAlign w:val="top"/>
          </w:tcPr>
          <w:p>
            <w:pPr>
              <w:spacing w:before="30" w:after="30" w:line="240" w:lineRule="auto"/>
              <w:jc w:val="left"/>
            </w:pPr>
            <w:r>
              <w:rPr>
                <w:rFonts w:ascii="Arial" w:hAnsi="Arial"/>
                <w:b w:val="0"/>
                <w:color w:val="1A1A1A"/>
                <w:sz w:val="18"/>
              </w:rPr>
              <w:t>https://www.boe.es/buscar/act.php?id=BOE-A-1997-22614</w:t>
            </w:r>
          </w:p>
        </w:tc>
        <w:tc>
          <w:tcPr>
            <w:tcW w:type="dxa" w:w="1593"/>
            <w:vAlign w:val="top"/>
          </w:tcPr>
          <w:p>
            <w:pPr>
              <w:spacing w:before="30" w:after="30" w:line="240" w:lineRule="auto"/>
              <w:jc w:val="left"/>
            </w:pPr>
            <w:r>
              <w:rPr>
                <w:rFonts w:ascii="Arial" w:hAnsi="Arial"/>
                <w:b w:val="0"/>
                <w:color w:val="1A1A1A"/>
                <w:sz w:val="18"/>
              </w:rPr>
              <w:t>23/03/2010</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Plan de seguridad y salud, obligaciones del contratista y coordinación en obra. Anexo IV, apartado 12.a: derribo y demolición</w:t>
            </w:r>
          </w:p>
        </w:tc>
      </w:tr>
      <w:tr>
        <w:trPr>
          <w:cantSplit/>
        </w:trPr>
        <w:tc>
          <w:tcPr>
            <w:tcW w:type="dxa" w:w="3186"/>
            <w:vAlign w:val="top"/>
          </w:tcPr>
          <w:p>
            <w:pPr>
              <w:spacing w:before="30" w:after="30" w:line="240" w:lineRule="auto"/>
              <w:jc w:val="left"/>
            </w:pPr>
            <w:r>
              <w:rPr>
                <w:rFonts w:ascii="Arial" w:hAnsi="Arial"/>
                <w:b w:val="0"/>
                <w:color w:val="1A1A1A"/>
                <w:sz w:val="18"/>
              </w:rPr>
              <w:t>Real Decreto 847/2026, sobre exposición a amianto</w:t>
            </w:r>
          </w:p>
        </w:tc>
        <w:tc>
          <w:tcPr>
            <w:tcW w:type="dxa" w:w="2392"/>
            <w:vAlign w:val="top"/>
          </w:tcPr>
          <w:p>
            <w:pPr>
              <w:spacing w:before="30" w:after="30" w:line="240" w:lineRule="auto"/>
              <w:jc w:val="left"/>
            </w:pPr>
            <w:r>
              <w:rPr>
                <w:rFonts w:ascii="Arial" w:hAnsi="Arial"/>
                <w:b w:val="0"/>
                <w:color w:val="1A1A1A"/>
                <w:sz w:val="18"/>
              </w:rPr>
              <w:t>BOE-A-2026-22081</w:t>
            </w:r>
          </w:p>
        </w:tc>
        <w:tc>
          <w:tcPr>
            <w:tcW w:type="dxa" w:w="2988"/>
            <w:vAlign w:val="top"/>
          </w:tcPr>
          <w:p>
            <w:pPr>
              <w:spacing w:before="30" w:after="30" w:line="240" w:lineRule="auto"/>
              <w:jc w:val="left"/>
            </w:pPr>
            <w:r>
              <w:rPr>
                <w:rFonts w:ascii="Arial" w:hAnsi="Arial"/>
                <w:b w:val="0"/>
                <w:color w:val="1A1A1A"/>
                <w:sz w:val="18"/>
              </w:rPr>
              <w:t>https://www.boe.es/buscar/act.php?id=BOE-A-2026-22081</w:t>
            </w:r>
          </w:p>
        </w:tc>
        <w:tc>
          <w:tcPr>
            <w:tcW w:type="dxa" w:w="1593"/>
            <w:vAlign w:val="top"/>
          </w:tcPr>
          <w:p>
            <w:pPr>
              <w:spacing w:before="30" w:after="30" w:line="240" w:lineRule="auto"/>
              <w:jc w:val="left"/>
            </w:pPr>
            <w:r>
              <w:rPr>
                <w:rFonts w:ascii="Arial" w:hAnsi="Arial"/>
                <w:b w:val="0"/>
                <w:color w:val="1A1A1A"/>
                <w:sz w:val="18"/>
              </w:rPr>
              <w:t>23/10/2026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Valor límite 0,01 fibras/cm³, inscripción en el RERA, planes de trabajo y régimen transitorio. En vigor desde el 24/10/2026</w:t>
            </w:r>
          </w:p>
        </w:tc>
      </w:tr>
      <w:tr>
        <w:trPr>
          <w:cantSplit/>
        </w:trPr>
        <w:tc>
          <w:tcPr>
            <w:tcW w:type="dxa" w:w="3186"/>
            <w:vAlign w:val="top"/>
          </w:tcPr>
          <w:p>
            <w:pPr>
              <w:spacing w:before="30" w:after="30" w:line="240" w:lineRule="auto"/>
              <w:jc w:val="left"/>
            </w:pPr>
            <w:r>
              <w:rPr>
                <w:rFonts w:ascii="Arial" w:hAnsi="Arial"/>
                <w:b w:val="0"/>
                <w:color w:val="1A1A1A"/>
                <w:sz w:val="18"/>
              </w:rPr>
              <w:t>Real Decreto 846/2026, sobre agentes cancerígenos y agentes químicos</w:t>
            </w:r>
          </w:p>
        </w:tc>
        <w:tc>
          <w:tcPr>
            <w:tcW w:type="dxa" w:w="2392"/>
            <w:vAlign w:val="top"/>
          </w:tcPr>
          <w:p>
            <w:pPr>
              <w:spacing w:before="30" w:after="30" w:line="240" w:lineRule="auto"/>
              <w:jc w:val="left"/>
            </w:pPr>
            <w:r>
              <w:rPr>
                <w:rFonts w:ascii="Arial" w:hAnsi="Arial"/>
                <w:b w:val="0"/>
                <w:color w:val="1A1A1A"/>
                <w:sz w:val="18"/>
              </w:rPr>
              <w:t>BOE-A-2026-22080</w:t>
            </w:r>
          </w:p>
        </w:tc>
        <w:tc>
          <w:tcPr>
            <w:tcW w:type="dxa" w:w="2988"/>
            <w:vAlign w:val="top"/>
          </w:tcPr>
          <w:p>
            <w:pPr>
              <w:spacing w:before="30" w:after="30" w:line="240" w:lineRule="auto"/>
              <w:jc w:val="left"/>
            </w:pPr>
            <w:r>
              <w:rPr>
                <w:rFonts w:ascii="Arial" w:hAnsi="Arial"/>
                <w:b w:val="0"/>
                <w:color w:val="1A1A1A"/>
                <w:sz w:val="18"/>
              </w:rPr>
              <w:t>https://www.boe.es/buscar/act.php?id=BOE-A-2026-22080</w:t>
            </w:r>
          </w:p>
        </w:tc>
        <w:tc>
          <w:tcPr>
            <w:tcW w:type="dxa" w:w="1593"/>
            <w:vAlign w:val="top"/>
          </w:tcPr>
          <w:p>
            <w:pPr>
              <w:spacing w:before="30" w:after="30" w:line="240" w:lineRule="auto"/>
              <w:jc w:val="left"/>
            </w:pPr>
            <w:r>
              <w:rPr>
                <w:rFonts w:ascii="Arial" w:hAnsi="Arial"/>
                <w:b w:val="0"/>
                <w:color w:val="1A1A1A"/>
                <w:sz w:val="18"/>
              </w:rPr>
              <w:t>23/10/2026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Modifica el RD 665/1997 y el RD 374/2001 e incorpora la Directiva (UE) 2024/869 (plomo y diisocianatos). En vigor desde el 24/10/2026</w:t>
            </w:r>
          </w:p>
        </w:tc>
      </w:tr>
      <w:tr>
        <w:trPr>
          <w:cantSplit/>
        </w:trPr>
        <w:tc>
          <w:tcPr>
            <w:tcW w:type="dxa" w:w="3186"/>
            <w:vAlign w:val="top"/>
          </w:tcPr>
          <w:p>
            <w:pPr>
              <w:spacing w:before="30" w:after="30" w:line="240" w:lineRule="auto"/>
              <w:jc w:val="left"/>
            </w:pPr>
            <w:r>
              <w:rPr>
                <w:rFonts w:ascii="Arial" w:hAnsi="Arial"/>
                <w:b w:val="0"/>
                <w:color w:val="1A1A1A"/>
                <w:sz w:val="18"/>
              </w:rPr>
              <w:t>Real Decreto 171/2004, sobre coordinación de actividades empresariales</w:t>
            </w:r>
          </w:p>
        </w:tc>
        <w:tc>
          <w:tcPr>
            <w:tcW w:type="dxa" w:w="2392"/>
            <w:vAlign w:val="top"/>
          </w:tcPr>
          <w:p>
            <w:pPr>
              <w:spacing w:before="30" w:after="30" w:line="240" w:lineRule="auto"/>
              <w:jc w:val="left"/>
            </w:pPr>
            <w:r>
              <w:rPr>
                <w:rFonts w:ascii="Arial" w:hAnsi="Arial"/>
                <w:b w:val="0"/>
                <w:color w:val="1A1A1A"/>
                <w:sz w:val="18"/>
              </w:rPr>
              <w:t>BOE-A-2004-1848</w:t>
            </w:r>
          </w:p>
        </w:tc>
        <w:tc>
          <w:tcPr>
            <w:tcW w:type="dxa" w:w="2988"/>
            <w:vAlign w:val="top"/>
          </w:tcPr>
          <w:p>
            <w:pPr>
              <w:spacing w:before="30" w:after="30" w:line="240" w:lineRule="auto"/>
              <w:jc w:val="left"/>
            </w:pPr>
            <w:r>
              <w:rPr>
                <w:rFonts w:ascii="Arial" w:hAnsi="Arial"/>
                <w:b w:val="0"/>
                <w:color w:val="1A1A1A"/>
                <w:sz w:val="18"/>
              </w:rPr>
              <w:t>https://www.boe.es/buscar/act.php?id=BOE-A-2004-1848</w:t>
            </w:r>
          </w:p>
        </w:tc>
        <w:tc>
          <w:tcPr>
            <w:tcW w:type="dxa" w:w="1593"/>
            <w:vAlign w:val="top"/>
          </w:tcPr>
          <w:p>
            <w:pPr>
              <w:spacing w:before="30" w:after="30" w:line="240" w:lineRule="auto"/>
              <w:jc w:val="left"/>
            </w:pPr>
            <w:r>
              <w:rPr>
                <w:rFonts w:ascii="Arial" w:hAnsi="Arial"/>
                <w:b w:val="0"/>
                <w:color w:val="1A1A1A"/>
                <w:sz w:val="18"/>
              </w:rPr>
              <w:t>31/01/2004</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Art. 7: medios de coordinación entre empresas en un mismo centro de trabajo</w:t>
            </w:r>
          </w:p>
        </w:tc>
      </w:tr>
      <w:tr>
        <w:trPr>
          <w:cantSplit/>
        </w:trPr>
        <w:tc>
          <w:tcPr>
            <w:tcW w:type="dxa" w:w="3186"/>
            <w:vAlign w:val="top"/>
          </w:tcPr>
          <w:p>
            <w:pPr>
              <w:spacing w:before="30" w:after="30" w:line="240" w:lineRule="auto"/>
              <w:jc w:val="left"/>
            </w:pPr>
            <w:r>
              <w:rPr>
                <w:rFonts w:ascii="Arial" w:hAnsi="Arial"/>
                <w:b w:val="0"/>
                <w:color w:val="1A1A1A"/>
                <w:sz w:val="18"/>
              </w:rPr>
              <w:t>Real Decreto 39/1997, por el que se aprueba el Reglamento de los Servicios de Prevención</w:t>
            </w:r>
          </w:p>
        </w:tc>
        <w:tc>
          <w:tcPr>
            <w:tcW w:type="dxa" w:w="2392"/>
            <w:vAlign w:val="top"/>
          </w:tcPr>
          <w:p>
            <w:pPr>
              <w:spacing w:before="30" w:after="30" w:line="240" w:lineRule="auto"/>
              <w:jc w:val="left"/>
            </w:pPr>
            <w:r>
              <w:rPr>
                <w:rFonts w:ascii="Arial" w:hAnsi="Arial"/>
                <w:b w:val="0"/>
                <w:color w:val="1A1A1A"/>
                <w:sz w:val="18"/>
              </w:rPr>
              <w:t>BOE-A-1997-435</w:t>
            </w:r>
          </w:p>
        </w:tc>
        <w:tc>
          <w:tcPr>
            <w:tcW w:type="dxa" w:w="2988"/>
            <w:vAlign w:val="top"/>
          </w:tcPr>
          <w:p>
            <w:pPr>
              <w:spacing w:before="30" w:after="30" w:line="240" w:lineRule="auto"/>
              <w:jc w:val="left"/>
            </w:pPr>
            <w:r>
              <w:rPr>
                <w:rFonts w:ascii="Arial" w:hAnsi="Arial"/>
                <w:b w:val="0"/>
                <w:color w:val="1A1A1A"/>
                <w:sz w:val="18"/>
              </w:rPr>
              <w:t>https://www.boe.es/buscar/act.php?id=BOE-A-1997-435</w:t>
            </w:r>
          </w:p>
        </w:tc>
        <w:tc>
          <w:tcPr>
            <w:tcW w:type="dxa" w:w="1593"/>
            <w:vAlign w:val="top"/>
          </w:tcPr>
          <w:p>
            <w:pPr>
              <w:spacing w:before="30" w:after="30" w:line="240" w:lineRule="auto"/>
              <w:jc w:val="left"/>
            </w:pPr>
            <w:r>
              <w:rPr>
                <w:rFonts w:ascii="Arial" w:hAnsi="Arial"/>
                <w:b w:val="0"/>
                <w:color w:val="1A1A1A"/>
                <w:sz w:val="18"/>
              </w:rPr>
              <w:t>23/10/2006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Evaluación de riesgos, planificación de la actividad preventiva y funciones del servicio de prevención</w:t>
            </w:r>
          </w:p>
        </w:tc>
      </w:tr>
      <w:tr>
        <w:trPr>
          <w:cantSplit/>
        </w:trPr>
        <w:tc>
          <w:tcPr>
            <w:tcW w:type="dxa" w:w="3186"/>
            <w:vAlign w:val="top"/>
          </w:tcPr>
          <w:p>
            <w:pPr>
              <w:spacing w:before="30" w:after="30" w:line="240" w:lineRule="auto"/>
              <w:jc w:val="left"/>
            </w:pPr>
            <w:r>
              <w:rPr>
                <w:rFonts w:ascii="Arial" w:hAnsi="Arial"/>
                <w:b w:val="0"/>
                <w:color w:val="1A1A1A"/>
                <w:sz w:val="18"/>
              </w:rPr>
              <w:t>Real Decreto 1215/1997, sobre equipos de trabajo</w:t>
            </w:r>
          </w:p>
        </w:tc>
        <w:tc>
          <w:tcPr>
            <w:tcW w:type="dxa" w:w="2392"/>
            <w:vAlign w:val="top"/>
          </w:tcPr>
          <w:p>
            <w:pPr>
              <w:spacing w:before="30" w:after="30" w:line="240" w:lineRule="auto"/>
              <w:jc w:val="left"/>
            </w:pPr>
            <w:r>
              <w:rPr>
                <w:rFonts w:ascii="Arial" w:hAnsi="Arial"/>
                <w:b w:val="0"/>
                <w:color w:val="1A1A1A"/>
                <w:sz w:val="18"/>
              </w:rPr>
              <w:t>BOE-A-1997-17824</w:t>
            </w:r>
          </w:p>
        </w:tc>
        <w:tc>
          <w:tcPr>
            <w:tcW w:type="dxa" w:w="2988"/>
            <w:vAlign w:val="top"/>
          </w:tcPr>
          <w:p>
            <w:pPr>
              <w:spacing w:before="30" w:after="30" w:line="240" w:lineRule="auto"/>
              <w:jc w:val="left"/>
            </w:pPr>
            <w:r>
              <w:rPr>
                <w:rFonts w:ascii="Arial" w:hAnsi="Arial"/>
                <w:b w:val="0"/>
                <w:color w:val="1A1A1A"/>
                <w:sz w:val="18"/>
              </w:rPr>
              <w:t>https://www.boe.es/buscar/act.php?id=BOE-A-1997-17824</w:t>
            </w:r>
          </w:p>
        </w:tc>
        <w:tc>
          <w:tcPr>
            <w:tcW w:type="dxa" w:w="1593"/>
            <w:vAlign w:val="top"/>
          </w:tcPr>
          <w:p>
            <w:pPr>
              <w:spacing w:before="30" w:after="30" w:line="240" w:lineRule="auto"/>
              <w:jc w:val="left"/>
            </w:pPr>
            <w:r>
              <w:rPr>
                <w:rFonts w:ascii="Arial" w:hAnsi="Arial"/>
                <w:b w:val="0"/>
                <w:color w:val="1A1A1A"/>
                <w:sz w:val="18"/>
              </w:rPr>
              <w:t>13/11/2004</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Anexo II: equipos de trabajo y medidas de seguridad. Modificado por el RD 2177/2004 en materia de trabajos temporales en altura</w:t>
            </w:r>
          </w:p>
        </w:tc>
      </w:tr>
      <w:tr>
        <w:trPr>
          <w:cantSplit/>
        </w:trPr>
        <w:tc>
          <w:tcPr>
            <w:tcW w:type="dxa" w:w="3186"/>
            <w:vAlign w:val="top"/>
          </w:tcPr>
          <w:p>
            <w:pPr>
              <w:spacing w:before="30" w:after="30" w:line="240" w:lineRule="auto"/>
              <w:jc w:val="left"/>
            </w:pPr>
            <w:r>
              <w:rPr>
                <w:rFonts w:ascii="Arial" w:hAnsi="Arial"/>
                <w:b w:val="0"/>
                <w:color w:val="1A1A1A"/>
                <w:sz w:val="18"/>
              </w:rPr>
              <w:t>Real Decreto 773/1997, sobre equipos de protección individual</w:t>
            </w:r>
          </w:p>
        </w:tc>
        <w:tc>
          <w:tcPr>
            <w:tcW w:type="dxa" w:w="2392"/>
            <w:vAlign w:val="top"/>
          </w:tcPr>
          <w:p>
            <w:pPr>
              <w:spacing w:before="30" w:after="30" w:line="240" w:lineRule="auto"/>
              <w:jc w:val="left"/>
            </w:pPr>
            <w:r>
              <w:rPr>
                <w:rFonts w:ascii="Arial" w:hAnsi="Arial"/>
                <w:b w:val="0"/>
                <w:color w:val="1A1A1A"/>
                <w:sz w:val="18"/>
              </w:rPr>
              <w:t>BOE-A-1997-12735</w:t>
            </w:r>
          </w:p>
        </w:tc>
        <w:tc>
          <w:tcPr>
            <w:tcW w:type="dxa" w:w="2988"/>
            <w:vAlign w:val="top"/>
          </w:tcPr>
          <w:p>
            <w:pPr>
              <w:spacing w:before="30" w:after="30" w:line="240" w:lineRule="auto"/>
              <w:jc w:val="left"/>
            </w:pPr>
            <w:r>
              <w:rPr>
                <w:rFonts w:ascii="Arial" w:hAnsi="Arial"/>
                <w:b w:val="0"/>
                <w:color w:val="1A1A1A"/>
                <w:sz w:val="18"/>
              </w:rPr>
              <w:t>https://www.boe.es/buscar/act.php?id=BOE-A-1997-12735</w:t>
            </w:r>
          </w:p>
        </w:tc>
        <w:tc>
          <w:tcPr>
            <w:tcW w:type="dxa" w:w="1593"/>
            <w:vAlign w:val="top"/>
          </w:tcPr>
          <w:p>
            <w:pPr>
              <w:spacing w:before="30" w:after="30" w:line="240" w:lineRule="auto"/>
              <w:jc w:val="left"/>
            </w:pPr>
            <w:r>
              <w:rPr>
                <w:rFonts w:ascii="Arial" w:hAnsi="Arial"/>
                <w:b w:val="0"/>
                <w:color w:val="1A1A1A"/>
                <w:sz w:val="18"/>
              </w:rPr>
              <w:t>08/12/2021</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Obligaciones del empresario en materia de EPI, selección y mantenimiento</w:t>
            </w:r>
          </w:p>
        </w:tc>
      </w:tr>
      <w:tr>
        <w:trPr>
          <w:cantSplit/>
        </w:trPr>
        <w:tc>
          <w:tcPr>
            <w:tcW w:type="dxa" w:w="3186"/>
            <w:vAlign w:val="top"/>
          </w:tcPr>
          <w:p>
            <w:pPr>
              <w:spacing w:before="30" w:after="30" w:line="240" w:lineRule="auto"/>
              <w:jc w:val="left"/>
            </w:pPr>
            <w:r>
              <w:rPr>
                <w:rFonts w:ascii="Arial" w:hAnsi="Arial"/>
                <w:b w:val="0"/>
                <w:color w:val="1A1A1A"/>
                <w:sz w:val="18"/>
              </w:rPr>
              <w:t>Real Decreto 665/1997, sobre agentes cancerígenos, mutágenos o reprotóxicos</w:t>
            </w:r>
          </w:p>
        </w:tc>
        <w:tc>
          <w:tcPr>
            <w:tcW w:type="dxa" w:w="2392"/>
            <w:vAlign w:val="top"/>
          </w:tcPr>
          <w:p>
            <w:pPr>
              <w:spacing w:before="30" w:after="30" w:line="240" w:lineRule="auto"/>
              <w:jc w:val="left"/>
            </w:pPr>
            <w:r>
              <w:rPr>
                <w:rFonts w:ascii="Arial" w:hAnsi="Arial"/>
                <w:b w:val="0"/>
                <w:color w:val="1A1A1A"/>
                <w:sz w:val="18"/>
              </w:rPr>
              <w:t>BOE-A-1997-11145</w:t>
            </w:r>
          </w:p>
        </w:tc>
        <w:tc>
          <w:tcPr>
            <w:tcW w:type="dxa" w:w="2988"/>
            <w:vAlign w:val="top"/>
          </w:tcPr>
          <w:p>
            <w:pPr>
              <w:spacing w:before="30" w:after="30" w:line="240" w:lineRule="auto"/>
              <w:jc w:val="left"/>
            </w:pPr>
            <w:r>
              <w:rPr>
                <w:rFonts w:ascii="Arial" w:hAnsi="Arial"/>
                <w:b w:val="0"/>
                <w:color w:val="1A1A1A"/>
                <w:sz w:val="18"/>
              </w:rPr>
              <w:t>https://www.boe.es/eli/es/rd/1997/05/12/665</w:t>
            </w:r>
          </w:p>
        </w:tc>
        <w:tc>
          <w:tcPr>
            <w:tcW w:type="dxa" w:w="1593"/>
            <w:vAlign w:val="top"/>
          </w:tcPr>
          <w:p>
            <w:pPr>
              <w:spacing w:before="30" w:after="30" w:line="240" w:lineRule="auto"/>
              <w:jc w:val="left"/>
            </w:pPr>
            <w:r>
              <w:rPr>
                <w:rFonts w:ascii="Arial" w:hAnsi="Arial"/>
                <w:b w:val="0"/>
                <w:color w:val="1A1A1A"/>
                <w:sz w:val="18"/>
              </w:rPr>
              <w:t>23/10/2026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Evaluación y control de la exposición. Modificado por el RD 846/2026</w:t>
            </w:r>
          </w:p>
        </w:tc>
      </w:tr>
      <w:tr>
        <w:trPr>
          <w:cantSplit/>
        </w:trPr>
        <w:tc>
          <w:tcPr>
            <w:tcW w:type="dxa" w:w="3186"/>
            <w:vAlign w:val="top"/>
          </w:tcPr>
          <w:p>
            <w:pPr>
              <w:spacing w:before="30" w:after="30" w:line="240" w:lineRule="auto"/>
              <w:jc w:val="left"/>
            </w:pPr>
            <w:r>
              <w:rPr>
                <w:rFonts w:ascii="Arial" w:hAnsi="Arial"/>
                <w:b w:val="0"/>
                <w:color w:val="1A1A1A"/>
                <w:sz w:val="18"/>
              </w:rPr>
              <w:t>Real Decreto 374/2001, sobre agentes químicos</w:t>
            </w:r>
          </w:p>
        </w:tc>
        <w:tc>
          <w:tcPr>
            <w:tcW w:type="dxa" w:w="2392"/>
            <w:vAlign w:val="top"/>
          </w:tcPr>
          <w:p>
            <w:pPr>
              <w:spacing w:before="30" w:after="30" w:line="240" w:lineRule="auto"/>
              <w:jc w:val="left"/>
            </w:pPr>
            <w:r>
              <w:rPr>
                <w:rFonts w:ascii="Arial" w:hAnsi="Arial"/>
                <w:b w:val="0"/>
                <w:color w:val="1A1A1A"/>
                <w:sz w:val="18"/>
              </w:rPr>
              <w:t>BOE-A-2001-8436</w:t>
            </w:r>
          </w:p>
        </w:tc>
        <w:tc>
          <w:tcPr>
            <w:tcW w:type="dxa" w:w="2988"/>
            <w:vAlign w:val="top"/>
          </w:tcPr>
          <w:p>
            <w:pPr>
              <w:spacing w:before="30" w:after="30" w:line="240" w:lineRule="auto"/>
              <w:jc w:val="left"/>
            </w:pPr>
            <w:r>
              <w:rPr>
                <w:rFonts w:ascii="Arial" w:hAnsi="Arial"/>
                <w:b w:val="0"/>
                <w:color w:val="1A1A1A"/>
                <w:sz w:val="18"/>
              </w:rPr>
              <w:t>https://www.boe.es/eli/es/rd/2001/04/06/374</w:t>
            </w:r>
          </w:p>
        </w:tc>
        <w:tc>
          <w:tcPr>
            <w:tcW w:type="dxa" w:w="1593"/>
            <w:vAlign w:val="top"/>
          </w:tcPr>
          <w:p>
            <w:pPr>
              <w:spacing w:before="30" w:after="30" w:line="240" w:lineRule="auto"/>
              <w:jc w:val="left"/>
            </w:pPr>
            <w:r>
              <w:rPr>
                <w:rFonts w:ascii="Arial" w:hAnsi="Arial"/>
                <w:b w:val="0"/>
                <w:color w:val="1A1A1A"/>
                <w:sz w:val="18"/>
              </w:rPr>
              <w:t>23/10/2026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Fichas de datos de seguridad, clasificación y valores límite. Modificado por el RD 846/2026</w:t>
            </w:r>
          </w:p>
        </w:tc>
      </w:tr>
      <w:tr>
        <w:trPr>
          <w:cantSplit/>
        </w:trPr>
        <w:tc>
          <w:tcPr>
            <w:tcW w:type="dxa" w:w="3186"/>
            <w:vAlign w:val="top"/>
          </w:tcPr>
          <w:p>
            <w:pPr>
              <w:spacing w:before="30" w:after="30" w:line="240" w:lineRule="auto"/>
              <w:jc w:val="left"/>
            </w:pPr>
            <w:r>
              <w:rPr>
                <w:rFonts w:ascii="Arial" w:hAnsi="Arial"/>
                <w:b w:val="0"/>
                <w:color w:val="1A1A1A"/>
                <w:sz w:val="18"/>
              </w:rPr>
              <w:t>Real Decreto 286/2006, sobre exposición al ruido</w:t>
            </w:r>
          </w:p>
        </w:tc>
        <w:tc>
          <w:tcPr>
            <w:tcW w:type="dxa" w:w="2392"/>
            <w:vAlign w:val="top"/>
          </w:tcPr>
          <w:p>
            <w:pPr>
              <w:spacing w:before="30" w:after="30" w:line="240" w:lineRule="auto"/>
              <w:jc w:val="left"/>
            </w:pPr>
            <w:r>
              <w:rPr>
                <w:rFonts w:ascii="Arial" w:hAnsi="Arial"/>
                <w:b w:val="0"/>
                <w:color w:val="1A1A1A"/>
                <w:sz w:val="18"/>
              </w:rPr>
              <w:t>BOE-A-2006-4414</w:t>
            </w:r>
          </w:p>
        </w:tc>
        <w:tc>
          <w:tcPr>
            <w:tcW w:type="dxa" w:w="2988"/>
            <w:vAlign w:val="top"/>
          </w:tcPr>
          <w:p>
            <w:pPr>
              <w:spacing w:before="30" w:after="30" w:line="240" w:lineRule="auto"/>
              <w:jc w:val="left"/>
            </w:pPr>
            <w:r>
              <w:rPr>
                <w:rFonts w:ascii="Arial" w:hAnsi="Arial"/>
                <w:b w:val="0"/>
                <w:color w:val="1A1A1A"/>
                <w:sz w:val="18"/>
              </w:rPr>
              <w:t>https://www.boe.es/eli/es/rd/2006/03/10/286</w:t>
            </w:r>
          </w:p>
        </w:tc>
        <w:tc>
          <w:tcPr>
            <w:tcW w:type="dxa" w:w="1593"/>
            <w:vAlign w:val="top"/>
          </w:tcPr>
          <w:p>
            <w:pPr>
              <w:spacing w:before="30" w:after="30" w:line="240" w:lineRule="auto"/>
              <w:jc w:val="left"/>
            </w:pPr>
            <w:r>
              <w:rPr>
                <w:rFonts w:ascii="Arial" w:hAnsi="Arial"/>
                <w:b w:val="0"/>
                <w:color w:val="1A1A1A"/>
                <w:sz w:val="18"/>
              </w:rPr>
              <w:t>11/03/2006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Evaluación de la exposición, medición y protección auditiva</w:t>
            </w:r>
          </w:p>
        </w:tc>
      </w:tr>
      <w:tr>
        <w:trPr>
          <w:cantSplit/>
        </w:trPr>
        <w:tc>
          <w:tcPr>
            <w:tcW w:type="dxa" w:w="3186"/>
            <w:vAlign w:val="top"/>
          </w:tcPr>
          <w:p>
            <w:pPr>
              <w:spacing w:before="30" w:after="30" w:line="240" w:lineRule="auto"/>
              <w:jc w:val="left"/>
            </w:pPr>
            <w:r>
              <w:rPr>
                <w:rFonts w:ascii="Arial" w:hAnsi="Arial"/>
                <w:b w:val="0"/>
                <w:color w:val="1A1A1A"/>
                <w:sz w:val="18"/>
              </w:rPr>
              <w:t>Real Decreto 396/2006, sobre exposición al amianto (DEROGADO)</w:t>
            </w:r>
          </w:p>
        </w:tc>
        <w:tc>
          <w:tcPr>
            <w:tcW w:type="dxa" w:w="2392"/>
            <w:vAlign w:val="top"/>
          </w:tcPr>
          <w:p>
            <w:pPr>
              <w:spacing w:before="30" w:after="30" w:line="240" w:lineRule="auto"/>
              <w:jc w:val="left"/>
            </w:pPr>
            <w:r>
              <w:rPr>
                <w:rFonts w:ascii="Arial" w:hAnsi="Arial"/>
                <w:b w:val="0"/>
                <w:color w:val="1A1A1A"/>
                <w:sz w:val="18"/>
              </w:rPr>
              <w:t>BOE-A-2006-6474</w:t>
            </w:r>
          </w:p>
        </w:tc>
        <w:tc>
          <w:tcPr>
            <w:tcW w:type="dxa" w:w="2988"/>
            <w:vAlign w:val="top"/>
          </w:tcPr>
          <w:p>
            <w:pPr>
              <w:spacing w:before="30" w:after="30" w:line="240" w:lineRule="auto"/>
              <w:jc w:val="left"/>
            </w:pPr>
            <w:r>
              <w:rPr>
                <w:rFonts w:ascii="Arial" w:hAnsi="Arial"/>
                <w:b w:val="0"/>
                <w:color w:val="1A1A1A"/>
                <w:sz w:val="18"/>
              </w:rPr>
              <w:t>https://www.boe.es/buscar/act.php?id=BOE-A-2006-6474</w:t>
            </w:r>
          </w:p>
        </w:tc>
        <w:tc>
          <w:tcPr>
            <w:tcW w:type="dxa" w:w="1593"/>
            <w:vAlign w:val="top"/>
          </w:tcPr>
          <w:p>
            <w:pPr>
              <w:spacing w:before="30" w:after="30" w:line="240" w:lineRule="auto"/>
              <w:jc w:val="left"/>
            </w:pPr>
            <w:r>
              <w:rPr>
                <w:rFonts w:ascii="Arial" w:hAnsi="Arial"/>
                <w:b w:val="0"/>
                <w:color w:val="1A1A1A"/>
                <w:sz w:val="18"/>
              </w:rPr>
              <w:t>23/10/2026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Derogado con efectos de 24/10/2026 por el RD 847/2026. Se cita sólo para explicar el régimen transitorio</w:t>
            </w:r>
          </w:p>
        </w:tc>
      </w:tr>
    </w:tbl>
    <w:p>
      <w:pPr>
        <w:spacing w:after="160" w:before="0" w:line="264" w:lineRule="auto"/>
      </w:pPr>
      <w:r>
        <w:rPr>
          <w:rFonts w:ascii="Arial" w:hAnsi="Arial"/>
          <w:b w:val="0"/>
          <w:i/>
          <w:color w:val="1A1A1A"/>
          <w:sz w:val="17"/>
        </w:rPr>
        <w:t>La columna «Fecha de última actualización» es la que consta en el consolidado del BOE el 25/10/2026. Si al consultarlo ve otra fecha, la norma ha cambiado después de este libro.</w:t>
      </w:r>
    </w:p>
    <w:p>
      <w:pPr>
        <w:spacing w:after="100" w:before="0" w:line="264" w:lineRule="auto"/>
      </w:pPr>
      <w:r>
        <w:rPr>
          <w:rFonts w:ascii="Arial" w:hAnsi="Arial"/>
          <w:b w:val="0"/>
          <w:i w:val="0"/>
          <w:color w:val="1A1A1A"/>
          <w:sz w:val="20"/>
        </w:rPr>
        <w:t>2.2. Fuentes técnicas y de Criteria</w:t>
      </w:r>
    </w:p>
    <w:p>
      <w:pPr>
        <w:keepNext/>
        <w:spacing w:after="40" w:before="0" w:line="264" w:lineRule="auto"/>
      </w:pPr>
      <w:r>
        <w:rPr>
          <w:rFonts w:ascii="Arial" w:hAnsi="Arial"/>
          <w:b/>
          <w:i w:val="0"/>
          <w:color w:val="1A1A1A"/>
          <w:sz w:val="19"/>
        </w:rPr>
        <w:t>I.2. Fuentes técnicas: son criterios, no obligaciones legales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028"/>
        <w:gridCol w:w="3028"/>
        <w:gridCol w:w="3028"/>
        <w:gridCol w:w="3028"/>
        <w:gridCol w:w="3028"/>
      </w:tblGrid>
      <w:tr>
        <w:trPr>
          <w:tblHeader w:val="true"/>
          <w:cantSplit/>
        </w:trPr>
        <w:tc>
          <w:tcPr>
            <w:tcW w:type="dxa" w:w="3441"/>
            <w:vAlign w:val="top"/>
            <w:shd w:val="clear" w:color="auto" w:fill="F2F2F2"/>
          </w:tcPr>
          <w:p>
            <w:pPr>
              <w:spacing w:before="30" w:after="30" w:line="240" w:lineRule="auto"/>
              <w:jc w:val="left"/>
            </w:pPr>
            <w:r>
              <w:rPr>
                <w:rFonts w:ascii="Arial" w:hAnsi="Arial"/>
                <w:b/>
                <w:color w:val="1A1A1A"/>
                <w:sz w:val="18"/>
              </w:rPr>
              <w:t>Fuente</w:t>
            </w:r>
          </w:p>
          <w:p>
            <w:pPr>
              <w:spacing w:after="0"/>
            </w:pPr>
            <w:r>
              <w:rPr>
                <w:i/>
                <w:color w:val="808080"/>
                <w:sz w:val="14"/>
              </w:rPr>
              <w:t>obligatorio</w:t>
            </w:r>
          </w:p>
        </w:tc>
        <w:tc>
          <w:tcPr>
            <w:tcW w:type="dxa" w:w="1837"/>
            <w:vAlign w:val="top"/>
            <w:shd w:val="clear" w:color="auto" w:fill="F2F2F2"/>
          </w:tcPr>
          <w:p>
            <w:pPr>
              <w:spacing w:before="30" w:after="30" w:line="240" w:lineRule="auto"/>
              <w:jc w:val="left"/>
            </w:pPr>
            <w:r>
              <w:rPr>
                <w:rFonts w:ascii="Arial" w:hAnsi="Arial"/>
                <w:b/>
                <w:color w:val="1A1A1A"/>
                <w:sz w:val="18"/>
              </w:rPr>
              <w:t>Organismo</w:t>
            </w:r>
          </w:p>
          <w:p>
            <w:pPr>
              <w:spacing w:after="0"/>
            </w:pPr>
            <w:r>
              <w:rPr>
                <w:i/>
                <w:color w:val="808080"/>
                <w:sz w:val="14"/>
              </w:rPr>
              <w:t>obligatorio</w:t>
            </w:r>
          </w:p>
        </w:tc>
        <w:tc>
          <w:tcPr>
            <w:tcW w:type="dxa" w:w="2982"/>
            <w:vAlign w:val="top"/>
            <w:shd w:val="clear" w:color="auto" w:fill="F2F2F2"/>
          </w:tcPr>
          <w:p>
            <w:pPr>
              <w:spacing w:before="30" w:after="30" w:line="240" w:lineRule="auto"/>
              <w:jc w:val="left"/>
            </w:pPr>
            <w:r>
              <w:rPr>
                <w:rFonts w:ascii="Arial" w:hAnsi="Arial"/>
                <w:b/>
                <w:color w:val="1A1A1A"/>
                <w:sz w:val="18"/>
              </w:rPr>
              <w:t>Enlace</w:t>
            </w:r>
          </w:p>
          <w:p>
            <w:pPr>
              <w:spacing w:after="0"/>
            </w:pPr>
            <w:r>
              <w:rPr>
                <w:i/>
                <w:color w:val="808080"/>
                <w:sz w:val="14"/>
              </w:rPr>
              <w:t>obligatorio</w:t>
            </w:r>
          </w:p>
        </w:tc>
        <w:tc>
          <w:tcPr>
            <w:tcW w:type="dxa" w:w="2982"/>
            <w:vAlign w:val="top"/>
            <w:shd w:val="clear" w:color="auto" w:fill="F2F2F2"/>
          </w:tcPr>
          <w:p>
            <w:pPr>
              <w:spacing w:before="30" w:after="30" w:line="240" w:lineRule="auto"/>
              <w:jc w:val="left"/>
            </w:pPr>
            <w:r>
              <w:rPr>
                <w:rFonts w:ascii="Arial" w:hAnsi="Arial"/>
                <w:b/>
                <w:color w:val="1A1A1A"/>
                <w:sz w:val="18"/>
              </w:rPr>
              <w:t>Naturaleza</w:t>
            </w:r>
          </w:p>
          <w:p>
            <w:pPr>
              <w:spacing w:after="0"/>
            </w:pPr>
            <w:r>
              <w:rPr>
                <w:i/>
                <w:color w:val="808080"/>
                <w:sz w:val="14"/>
              </w:rPr>
              <w:t>obligatorio</w:t>
            </w:r>
          </w:p>
        </w:tc>
        <w:tc>
          <w:tcPr>
            <w:tcW w:type="dxa" w:w="3900"/>
            <w:vAlign w:val="top"/>
            <w:shd w:val="clear" w:color="auto" w:fill="F2F2F2"/>
          </w:tcPr>
          <w:p>
            <w:pPr>
              <w:spacing w:before="30" w:after="30" w:line="240" w:lineRule="auto"/>
              <w:jc w:val="left"/>
            </w:pPr>
            <w:r>
              <w:rPr>
                <w:rFonts w:ascii="Arial" w:hAnsi="Arial"/>
                <w:b/>
                <w:color w:val="1A1A1A"/>
                <w:sz w:val="18"/>
              </w:rPr>
              <w:t>Para qué se usa en el libro</w:t>
            </w:r>
          </w:p>
          <w:p>
            <w:pPr>
              <w:spacing w:after="0"/>
            </w:pPr>
            <w:r>
              <w:rPr>
                <w:i/>
                <w:color w:val="808080"/>
                <w:sz w:val="14"/>
              </w:rPr>
              <w:t>obligatorio</w:t>
            </w:r>
          </w:p>
        </w:tc>
      </w:tr>
      <w:tr>
        <w:trPr>
          <w:cantSplit/>
        </w:trPr>
        <w:tc>
          <w:tcPr>
            <w:tcW w:type="dxa" w:w="3441"/>
            <w:vAlign w:val="top"/>
          </w:tcPr>
          <w:p>
            <w:pPr>
              <w:spacing w:before="30" w:after="30" w:line="240" w:lineRule="auto"/>
              <w:jc w:val="left"/>
            </w:pPr>
            <w:r>
              <w:rPr>
                <w:rFonts w:ascii="Arial" w:hAnsi="Arial"/>
                <w:b w:val="0"/>
                <w:color w:val="1A1A1A"/>
                <w:sz w:val="18"/>
              </w:rPr>
              <w:t>Guía técnica para la evaluación y prevención de los riesgos relativos a las obras de construcción</w:t>
            </w:r>
          </w:p>
        </w:tc>
        <w:tc>
          <w:tcPr>
            <w:tcW w:type="dxa" w:w="1837"/>
            <w:vAlign w:val="top"/>
          </w:tcPr>
          <w:p>
            <w:pPr>
              <w:spacing w:before="30" w:after="30" w:line="240" w:lineRule="auto"/>
              <w:jc w:val="left"/>
            </w:pPr>
            <w:r>
              <w:rPr>
                <w:rFonts w:ascii="Arial" w:hAnsi="Arial"/>
                <w:b w:val="0"/>
                <w:color w:val="1A1A1A"/>
                <w:sz w:val="18"/>
              </w:rPr>
              <w:t>INSST</w:t>
            </w:r>
          </w:p>
        </w:tc>
        <w:tc>
          <w:tcPr>
            <w:tcW w:type="dxa" w:w="2982"/>
            <w:vAlign w:val="top"/>
          </w:tcPr>
          <w:p>
            <w:pPr>
              <w:spacing w:before="30" w:after="30" w:line="240" w:lineRule="auto"/>
              <w:jc w:val="left"/>
            </w:pPr>
            <w:r>
              <w:rPr>
                <w:rFonts w:ascii="Arial" w:hAnsi="Arial"/>
                <w:b w:val="0"/>
                <w:color w:val="1A1A1A"/>
                <w:sz w:val="18"/>
              </w:rPr>
              <w:t>https://www.insst.es/</w:t>
            </w:r>
          </w:p>
        </w:tc>
        <w:tc>
          <w:tcPr>
            <w:tcW w:type="dxa" w:w="2982"/>
            <w:vAlign w:val="top"/>
          </w:tcPr>
          <w:p>
            <w:pPr>
              <w:spacing w:before="30" w:after="30" w:line="240" w:lineRule="auto"/>
              <w:jc w:val="left"/>
            </w:pPr>
            <w:r>
              <w:rPr>
                <w:rFonts w:ascii="Arial" w:hAnsi="Arial"/>
                <w:b w:val="0"/>
                <w:color w:val="1A1A1A"/>
                <w:sz w:val="18"/>
              </w:rPr>
              <w:t>Criterio técnico</w:t>
            </w:r>
          </w:p>
        </w:tc>
        <w:tc>
          <w:tcPr>
            <w:tcW w:type="dxa" w:w="3900"/>
            <w:vAlign w:val="top"/>
          </w:tcPr>
          <w:p>
            <w:pPr>
              <w:spacing w:before="30" w:after="30" w:line="240" w:lineRule="auto"/>
              <w:jc w:val="left"/>
            </w:pPr>
            <w:r>
              <w:rPr>
                <w:rFonts w:ascii="Arial" w:hAnsi="Arial"/>
                <w:b w:val="0"/>
                <w:color w:val="1A1A1A"/>
                <w:sz w:val="18"/>
              </w:rPr>
              <w:t>Criterios de evaluación en obras y elementos de los anexos</w:t>
            </w:r>
          </w:p>
        </w:tc>
      </w:tr>
      <w:tr>
        <w:trPr>
          <w:cantSplit/>
        </w:trPr>
        <w:tc>
          <w:tcPr>
            <w:tcW w:type="dxa" w:w="3441"/>
            <w:vAlign w:val="top"/>
          </w:tcPr>
          <w:p>
            <w:pPr>
              <w:spacing w:before="30" w:after="30" w:line="240" w:lineRule="auto"/>
              <w:jc w:val="left"/>
            </w:pPr>
            <w:r>
              <w:rPr>
                <w:rFonts w:ascii="Arial" w:hAnsi="Arial"/>
                <w:b w:val="0"/>
                <w:color w:val="1A1A1A"/>
                <w:sz w:val="18"/>
              </w:rPr>
              <w:t>NTP 1046. Investigación de accidentes: recogida de testimonios</w:t>
            </w:r>
          </w:p>
        </w:tc>
        <w:tc>
          <w:tcPr>
            <w:tcW w:type="dxa" w:w="1837"/>
            <w:vAlign w:val="top"/>
          </w:tcPr>
          <w:p>
            <w:pPr>
              <w:spacing w:before="30" w:after="30" w:line="240" w:lineRule="auto"/>
              <w:jc w:val="left"/>
            </w:pPr>
            <w:r>
              <w:rPr>
                <w:rFonts w:ascii="Arial" w:hAnsi="Arial"/>
                <w:b w:val="0"/>
                <w:color w:val="1A1A1A"/>
                <w:sz w:val="18"/>
              </w:rPr>
              <w:t>INSST</w:t>
            </w:r>
          </w:p>
        </w:tc>
        <w:tc>
          <w:tcPr>
            <w:tcW w:type="dxa" w:w="2982"/>
            <w:vAlign w:val="top"/>
          </w:tcPr>
          <w:p>
            <w:pPr>
              <w:spacing w:before="30" w:after="30" w:line="240" w:lineRule="auto"/>
              <w:jc w:val="left"/>
            </w:pPr>
            <w:r>
              <w:rPr>
                <w:rFonts w:ascii="Arial" w:hAnsi="Arial"/>
                <w:b w:val="0"/>
                <w:color w:val="1A1A1A"/>
                <w:sz w:val="18"/>
              </w:rPr>
              <w:t>https://www.insst.es/</w:t>
            </w:r>
          </w:p>
        </w:tc>
        <w:tc>
          <w:tcPr>
            <w:tcW w:type="dxa" w:w="2982"/>
            <w:vAlign w:val="top"/>
          </w:tcPr>
          <w:p>
            <w:pPr>
              <w:spacing w:before="30" w:after="30" w:line="240" w:lineRule="auto"/>
              <w:jc w:val="left"/>
            </w:pPr>
            <w:r>
              <w:rPr>
                <w:rFonts w:ascii="Arial" w:hAnsi="Arial"/>
                <w:b w:val="0"/>
                <w:color w:val="1A1A1A"/>
                <w:sz w:val="18"/>
              </w:rPr>
              <w:t>Guía de buena práctica</w:t>
            </w:r>
          </w:p>
        </w:tc>
        <w:tc>
          <w:tcPr>
            <w:tcW w:type="dxa" w:w="3900"/>
            <w:vAlign w:val="top"/>
          </w:tcPr>
          <w:p>
            <w:pPr>
              <w:spacing w:before="30" w:after="30" w:line="240" w:lineRule="auto"/>
              <w:jc w:val="left"/>
            </w:pPr>
            <w:r>
              <w:rPr>
                <w:rFonts w:ascii="Arial" w:hAnsi="Arial"/>
                <w:b w:val="0"/>
                <w:color w:val="1A1A1A"/>
                <w:sz w:val="18"/>
              </w:rPr>
              <w:t>Método de entrevista y registro de testimonios (plantillas 2 y 5)</w:t>
            </w:r>
          </w:p>
        </w:tc>
      </w:tr>
      <w:tr>
        <w:trPr>
          <w:cantSplit/>
        </w:trPr>
        <w:tc>
          <w:tcPr>
            <w:tcW w:type="dxa" w:w="3441"/>
            <w:vAlign w:val="top"/>
          </w:tcPr>
          <w:p>
            <w:pPr>
              <w:spacing w:before="30" w:after="30" w:line="240" w:lineRule="auto"/>
              <w:jc w:val="left"/>
            </w:pPr>
            <w:r>
              <w:rPr>
                <w:rFonts w:ascii="Arial" w:hAnsi="Arial"/>
                <w:b w:val="0"/>
                <w:color w:val="1A1A1A"/>
                <w:sz w:val="18"/>
              </w:rPr>
              <w:t>Colección BINVAC (fichas de accidentes)</w:t>
            </w:r>
          </w:p>
        </w:tc>
        <w:tc>
          <w:tcPr>
            <w:tcW w:type="dxa" w:w="1837"/>
            <w:vAlign w:val="top"/>
          </w:tcPr>
          <w:p>
            <w:pPr>
              <w:spacing w:before="30" w:after="30" w:line="240" w:lineRule="auto"/>
              <w:jc w:val="left"/>
            </w:pPr>
            <w:r>
              <w:rPr>
                <w:rFonts w:ascii="Arial" w:hAnsi="Arial"/>
                <w:b w:val="0"/>
                <w:color w:val="1A1A1A"/>
                <w:sz w:val="18"/>
              </w:rPr>
              <w:t>INSST</w:t>
            </w:r>
          </w:p>
        </w:tc>
        <w:tc>
          <w:tcPr>
            <w:tcW w:type="dxa" w:w="2982"/>
            <w:vAlign w:val="top"/>
          </w:tcPr>
          <w:p>
            <w:pPr>
              <w:spacing w:before="30" w:after="30" w:line="240" w:lineRule="auto"/>
              <w:jc w:val="left"/>
            </w:pPr>
            <w:r>
              <w:rPr>
                <w:rFonts w:ascii="Arial" w:hAnsi="Arial"/>
                <w:b w:val="0"/>
                <w:color w:val="1A1A1A"/>
                <w:sz w:val="18"/>
              </w:rPr>
              <w:t>https://www.insst.es/</w:t>
            </w:r>
          </w:p>
        </w:tc>
        <w:tc>
          <w:tcPr>
            <w:tcW w:type="dxa" w:w="2982"/>
            <w:vAlign w:val="top"/>
          </w:tcPr>
          <w:p>
            <w:pPr>
              <w:spacing w:before="30" w:after="30" w:line="240" w:lineRule="auto"/>
              <w:jc w:val="left"/>
            </w:pPr>
            <w:r>
              <w:rPr>
                <w:rFonts w:ascii="Arial" w:hAnsi="Arial"/>
                <w:b w:val="0"/>
                <w:color w:val="1A1A1A"/>
                <w:sz w:val="18"/>
              </w:rPr>
              <w:t>Registro de casos reales</w:t>
            </w:r>
          </w:p>
        </w:tc>
        <w:tc>
          <w:tcPr>
            <w:tcW w:type="dxa" w:w="3900"/>
            <w:vAlign w:val="top"/>
          </w:tcPr>
          <w:p>
            <w:pPr>
              <w:spacing w:before="30" w:after="30" w:line="240" w:lineRule="auto"/>
              <w:jc w:val="left"/>
            </w:pPr>
            <w:r>
              <w:rPr>
                <w:rFonts w:ascii="Arial" w:hAnsi="Arial"/>
                <w:b w:val="0"/>
                <w:color w:val="1A1A1A"/>
                <w:sz w:val="18"/>
              </w:rPr>
              <w:t>Casos de referencia del capítulo 2 y del capítulo 7</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2.3. Resoluciones judiciales citadas</w:t>
      </w:r>
    </w:p>
    <w:p>
      <w:pPr>
        <w:keepNext/>
        <w:spacing w:after="40" w:before="0" w:line="264" w:lineRule="auto"/>
      </w:pPr>
      <w:r>
        <w:rPr>
          <w:rFonts w:ascii="Arial" w:hAnsi="Arial"/>
          <w:b/>
          <w:i w:val="0"/>
          <w:color w:val="1A1A1A"/>
          <w:sz w:val="19"/>
        </w:rPr>
        <w:t>I.3. Resoluciones citadas en el libro, con su naturaleza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028"/>
        <w:gridCol w:w="3028"/>
        <w:gridCol w:w="3028"/>
        <w:gridCol w:w="3028"/>
        <w:gridCol w:w="3028"/>
      </w:tblGrid>
      <w:tr>
        <w:trPr>
          <w:tblHeader w:val="true"/>
          <w:cantSplit/>
        </w:trPr>
        <w:tc>
          <w:tcPr>
            <w:tcW w:type="dxa" w:w="3163"/>
            <w:vAlign w:val="top"/>
            <w:shd w:val="clear" w:color="auto" w:fill="F2F2F2"/>
          </w:tcPr>
          <w:p>
            <w:pPr>
              <w:spacing w:before="30" w:after="30" w:line="240" w:lineRule="auto"/>
              <w:jc w:val="left"/>
            </w:pPr>
            <w:r>
              <w:rPr>
                <w:rFonts w:ascii="Arial" w:hAnsi="Arial"/>
                <w:b/>
                <w:color w:val="1A1A1A"/>
                <w:sz w:val="18"/>
              </w:rPr>
              <w:t>Resolución</w:t>
            </w:r>
          </w:p>
          <w:p>
            <w:pPr>
              <w:spacing w:after="0"/>
            </w:pPr>
            <w:r>
              <w:rPr>
                <w:i/>
                <w:color w:val="808080"/>
                <w:sz w:val="14"/>
              </w:rPr>
              <w:t>obligatorio</w:t>
            </w:r>
          </w:p>
        </w:tc>
        <w:tc>
          <w:tcPr>
            <w:tcW w:type="dxa" w:w="2035"/>
            <w:vAlign w:val="top"/>
            <w:shd w:val="clear" w:color="auto" w:fill="F2F2F2"/>
          </w:tcPr>
          <w:p>
            <w:pPr>
              <w:spacing w:before="30" w:after="30" w:line="240" w:lineRule="auto"/>
              <w:jc w:val="left"/>
            </w:pPr>
            <w:r>
              <w:rPr>
                <w:rFonts w:ascii="Arial" w:hAnsi="Arial"/>
                <w:b/>
                <w:color w:val="1A1A1A"/>
                <w:sz w:val="18"/>
              </w:rPr>
              <w:t>Órgano</w:t>
            </w:r>
          </w:p>
          <w:p>
            <w:pPr>
              <w:spacing w:after="0"/>
            </w:pPr>
            <w:r>
              <w:rPr>
                <w:i/>
                <w:color w:val="808080"/>
                <w:sz w:val="14"/>
              </w:rPr>
              <w:t>obligatorio</w:t>
            </w:r>
          </w:p>
        </w:tc>
        <w:tc>
          <w:tcPr>
            <w:tcW w:type="dxa" w:w="3617"/>
            <w:vAlign w:val="top"/>
            <w:shd w:val="clear" w:color="auto" w:fill="F2F2F2"/>
          </w:tcPr>
          <w:p>
            <w:pPr>
              <w:spacing w:before="30" w:after="30" w:line="240" w:lineRule="auto"/>
              <w:jc w:val="left"/>
            </w:pPr>
            <w:r>
              <w:rPr>
                <w:rFonts w:ascii="Arial" w:hAnsi="Arial"/>
                <w:b/>
                <w:color w:val="1A1A1A"/>
                <w:sz w:val="18"/>
              </w:rPr>
              <w:t>Qué illustrate</w:t>
            </w:r>
          </w:p>
          <w:p>
            <w:pPr>
              <w:spacing w:after="0"/>
            </w:pPr>
            <w:r>
              <w:rPr>
                <w:i/>
                <w:color w:val="808080"/>
                <w:sz w:val="14"/>
              </w:rPr>
              <w:t>obligatorio</w:t>
            </w:r>
          </w:p>
        </w:tc>
        <w:tc>
          <w:tcPr>
            <w:tcW w:type="dxa" w:w="3390"/>
            <w:vAlign w:val="top"/>
            <w:shd w:val="clear" w:color="auto" w:fill="F2F2F2"/>
          </w:tcPr>
          <w:p>
            <w:pPr>
              <w:spacing w:before="30" w:after="30" w:line="240" w:lineRule="auto"/>
              <w:jc w:val="left"/>
            </w:pPr>
            <w:r>
              <w:rPr>
                <w:rFonts w:ascii="Arial" w:hAnsi="Arial"/>
                <w:b/>
                <w:color w:val="1A1A1A"/>
                <w:sz w:val="18"/>
              </w:rPr>
              <w:t>Naturaleza</w:t>
            </w:r>
          </w:p>
          <w:p>
            <w:pPr>
              <w:spacing w:after="0"/>
            </w:pPr>
            <w:r>
              <w:rPr>
                <w:i/>
                <w:color w:val="808080"/>
                <w:sz w:val="14"/>
              </w:rPr>
              <w:t>obligatorio</w:t>
            </w:r>
          </w:p>
        </w:tc>
        <w:tc>
          <w:tcPr>
            <w:tcW w:type="dxa" w:w="2937"/>
            <w:vAlign w:val="top"/>
            <w:shd w:val="clear" w:color="auto" w:fill="F2F2F2"/>
          </w:tcPr>
          <w:p>
            <w:pPr>
              <w:spacing w:before="30" w:after="30" w:line="240" w:lineRule="auto"/>
              <w:jc w:val="left"/>
            </w:pPr>
            <w:r>
              <w:rPr>
                <w:rFonts w:ascii="Arial" w:hAnsi="Arial"/>
                <w:b/>
                <w:color w:val="1A1A1A"/>
                <w:sz w:val="18"/>
              </w:rPr>
              <w:t>Enlace</w:t>
            </w:r>
          </w:p>
          <w:p>
            <w:pPr>
              <w:spacing w:after="0"/>
            </w:pPr>
            <w:r>
              <w:rPr>
                <w:i/>
                <w:color w:val="808080"/>
                <w:sz w:val="14"/>
              </w:rPr>
              <w:t>obligatorio</w:t>
            </w:r>
          </w:p>
        </w:tc>
      </w:tr>
      <w:tr>
        <w:trPr>
          <w:cantSplit/>
        </w:trPr>
        <w:tc>
          <w:tcPr>
            <w:tcW w:type="dxa" w:w="3163"/>
            <w:vAlign w:val="top"/>
          </w:tcPr>
          <w:p>
            <w:pPr>
              <w:spacing w:before="30" w:after="30" w:line="240" w:lineRule="auto"/>
              <w:jc w:val="left"/>
            </w:pPr>
            <w:r>
              <w:rPr>
                <w:rFonts w:ascii="Arial" w:hAnsi="Arial"/>
                <w:b w:val="0"/>
                <w:color w:val="1A1A1A"/>
                <w:sz w:val="18"/>
              </w:rPr>
              <w:t>SAP Almería 153/2019</w:t>
            </w:r>
          </w:p>
        </w:tc>
        <w:tc>
          <w:tcPr>
            <w:tcW w:type="dxa" w:w="2035"/>
            <w:vAlign w:val="top"/>
          </w:tcPr>
          <w:p>
            <w:pPr>
              <w:spacing w:before="30" w:after="30" w:line="240" w:lineRule="auto"/>
              <w:jc w:val="left"/>
            </w:pPr>
            <w:r>
              <w:rPr>
                <w:rFonts w:ascii="Arial" w:hAnsi="Arial"/>
                <w:b w:val="0"/>
                <w:color w:val="1A1A1A"/>
                <w:sz w:val="18"/>
              </w:rPr>
              <w:t>Audiencia Provincial de Almería</w:t>
            </w:r>
          </w:p>
        </w:tc>
        <w:tc>
          <w:tcPr>
            <w:tcW w:type="dxa" w:w="3617"/>
            <w:vAlign w:val="top"/>
          </w:tcPr>
          <w:p>
            <w:pPr>
              <w:spacing w:before="30" w:after="30" w:line="240" w:lineRule="auto"/>
              <w:jc w:val="left"/>
            </w:pPr>
            <w:r>
              <w:rPr>
                <w:rFonts w:ascii="Arial" w:hAnsi="Arial"/>
                <w:b w:val="0"/>
                <w:color w:val="1A1A1A"/>
                <w:sz w:val="18"/>
              </w:rPr>
              <w:t>Objeto de la causa y alcance de la acreditación del daño</w:t>
            </w:r>
          </w:p>
        </w:tc>
        <w:tc>
          <w:tcPr>
            <w:tcW w:type="dxa" w:w="3390"/>
            <w:vAlign w:val="top"/>
          </w:tcPr>
          <w:p>
            <w:pPr>
              <w:spacing w:before="30" w:after="30" w:line="240" w:lineRule="auto"/>
              <w:jc w:val="left"/>
            </w:pPr>
            <w:r>
              <w:rPr>
                <w:rFonts w:ascii="Arial" w:hAnsi="Arial"/>
                <w:b w:val="0"/>
                <w:color w:val="1A1A1A"/>
                <w:sz w:val="18"/>
              </w:rPr>
              <w:t>Sentencia de instancia. No se afirma firmeza judicial: no se ha comprobado el recurso</w:t>
            </w:r>
          </w:p>
        </w:tc>
        <w:tc>
          <w:tcPr>
            <w:tcW w:type="dxa" w:w="2937"/>
            <w:vAlign w:val="top"/>
          </w:tcPr>
          <w:p>
            <w:pPr>
              <w:spacing w:before="30" w:after="30" w:line="240" w:lineRule="auto"/>
              <w:jc w:val="left"/>
            </w:pPr>
            <w:r>
              <w:rPr>
                <w:rFonts w:ascii="Arial" w:hAnsi="Arial"/>
                <w:b w:val="0"/>
                <w:color w:val="1A1A1A"/>
                <w:sz w:val="18"/>
              </w:rPr>
              <w:t>Por verificar</w:t>
            </w:r>
          </w:p>
        </w:tc>
      </w:tr>
      <w:tr>
        <w:trPr>
          <w:cantSplit/>
        </w:trPr>
        <w:tc>
          <w:tcPr>
            <w:tcW w:type="dxa" w:w="3163"/>
            <w:vAlign w:val="top"/>
          </w:tcPr>
          <w:p>
            <w:pPr>
              <w:spacing w:before="30" w:after="30" w:line="240" w:lineRule="auto"/>
              <w:jc w:val="left"/>
            </w:pPr>
            <w:r>
              <w:rPr>
                <w:rFonts w:ascii="Arial" w:hAnsi="Arial"/>
                <w:b w:val="0"/>
                <w:color w:val="1A1A1A"/>
                <w:sz w:val="18"/>
              </w:rPr>
              <w:t>TSJ Madrid (Social) 504/2024</w:t>
            </w:r>
          </w:p>
        </w:tc>
        <w:tc>
          <w:tcPr>
            <w:tcW w:type="dxa" w:w="2035"/>
            <w:vAlign w:val="top"/>
          </w:tcPr>
          <w:p>
            <w:pPr>
              <w:spacing w:before="30" w:after="30" w:line="240" w:lineRule="auto"/>
              <w:jc w:val="left"/>
            </w:pPr>
            <w:r>
              <w:rPr>
                <w:rFonts w:ascii="Arial" w:hAnsi="Arial"/>
                <w:b w:val="0"/>
                <w:color w:val="1A1A1A"/>
                <w:sz w:val="18"/>
              </w:rPr>
              <w:t>Tribunal Superior de Justicia de Madrid, Sala de lo Social</w:t>
            </w:r>
          </w:p>
        </w:tc>
        <w:tc>
          <w:tcPr>
            <w:tcW w:type="dxa" w:w="3617"/>
            <w:vAlign w:val="top"/>
          </w:tcPr>
          <w:p>
            <w:pPr>
              <w:spacing w:before="30" w:after="30" w:line="240" w:lineRule="auto"/>
              <w:jc w:val="left"/>
            </w:pPr>
            <w:r>
              <w:rPr>
                <w:rFonts w:ascii="Arial" w:hAnsi="Arial"/>
                <w:b w:val="0"/>
                <w:color w:val="1A1A1A"/>
                <w:sz w:val="18"/>
              </w:rPr>
              <w:t>Responsabilidad de la empresa en materia de prevención</w:t>
            </w:r>
          </w:p>
        </w:tc>
        <w:tc>
          <w:tcPr>
            <w:tcW w:type="dxa" w:w="3390"/>
            <w:vAlign w:val="top"/>
          </w:tcPr>
          <w:p>
            <w:pPr>
              <w:spacing w:before="30" w:after="30" w:line="240" w:lineRule="auto"/>
              <w:jc w:val="left"/>
            </w:pPr>
            <w:r>
              <w:rPr>
                <w:rFonts w:ascii="Arial" w:hAnsi="Arial"/>
                <w:b w:val="0"/>
                <w:color w:val="1A1A1A"/>
                <w:sz w:val="18"/>
              </w:rPr>
              <w:t>Sentencia de instancia recurrida. No se afirma firmeza judicial: no se ha comprobado el recurso</w:t>
            </w:r>
          </w:p>
        </w:tc>
        <w:tc>
          <w:tcPr>
            <w:tcW w:type="dxa" w:w="2937"/>
            <w:vAlign w:val="top"/>
          </w:tcPr>
          <w:p>
            <w:pPr>
              <w:spacing w:before="30" w:after="30" w:line="240" w:lineRule="auto"/>
              <w:jc w:val="left"/>
            </w:pPr>
            <w:r>
              <w:rPr>
                <w:rFonts w:ascii="Arial" w:hAnsi="Arial"/>
                <w:b w:val="0"/>
                <w:color w:val="1A1A1A"/>
                <w:sz w:val="18"/>
              </w:rPr>
              <w:t>Por verificar</w:t>
            </w:r>
          </w:p>
        </w:tc>
      </w:tr>
      <w:tr>
        <w:trPr>
          <w:cantSplit/>
        </w:trPr>
        <w:tc>
          <w:tcPr>
            <w:tcW w:type="dxa" w:w="3163"/>
            <w:vAlign w:val="top"/>
          </w:tcPr>
          <w:p>
            <w:pPr>
              <w:spacing w:before="30" w:after="30" w:line="240" w:lineRule="auto"/>
              <w:jc w:val="left"/>
            </w:pPr>
            <w:r>
              <w:rPr>
                <w:rFonts w:ascii="Arial" w:hAnsi="Arial"/>
                <w:b w:val="0"/>
                <w:color w:val="1A1A1A"/>
                <w:sz w:val="18"/>
              </w:rPr>
              <w:t>SAP Pontevedra 262/2019</w:t>
            </w:r>
          </w:p>
        </w:tc>
        <w:tc>
          <w:tcPr>
            <w:tcW w:type="dxa" w:w="2035"/>
            <w:vAlign w:val="top"/>
          </w:tcPr>
          <w:p>
            <w:pPr>
              <w:spacing w:before="30" w:after="30" w:line="240" w:lineRule="auto"/>
              <w:jc w:val="left"/>
            </w:pPr>
            <w:r>
              <w:rPr>
                <w:rFonts w:ascii="Arial" w:hAnsi="Arial"/>
                <w:b w:val="0"/>
                <w:color w:val="1A1A1A"/>
                <w:sz w:val="18"/>
              </w:rPr>
              <w:t>Audiencia Provincial de Pontevedra</w:t>
            </w:r>
          </w:p>
        </w:tc>
        <w:tc>
          <w:tcPr>
            <w:tcW w:type="dxa" w:w="3617"/>
            <w:vAlign w:val="top"/>
          </w:tcPr>
          <w:p>
            <w:pPr>
              <w:spacing w:before="30" w:after="30" w:line="240" w:lineRule="auto"/>
              <w:jc w:val="left"/>
            </w:pPr>
            <w:r>
              <w:rPr>
                <w:rFonts w:ascii="Arial" w:hAnsi="Arial"/>
                <w:b w:val="0"/>
                <w:color w:val="1A1A1A"/>
                <w:sz w:val="18"/>
              </w:rPr>
              <w:t>Referencia en el manuscrito original</w:t>
            </w:r>
          </w:p>
        </w:tc>
        <w:tc>
          <w:tcPr>
            <w:tcW w:type="dxa" w:w="3390"/>
            <w:vAlign w:val="top"/>
          </w:tcPr>
          <w:p>
            <w:pPr>
              <w:spacing w:before="30" w:after="30" w:line="240" w:lineRule="auto"/>
              <w:jc w:val="left"/>
            </w:pPr>
            <w:r>
              <w:rPr>
                <w:rFonts w:ascii="Arial" w:hAnsi="Arial"/>
                <w:b w:val="0"/>
                <w:color w:val="1A1A1A"/>
                <w:sz w:val="18"/>
              </w:rPr>
              <w:t>Referencia huérfana: no consta en la ficha de fuentes del autor y no se ha podido verificar</w:t>
            </w:r>
          </w:p>
        </w:tc>
        <w:tc>
          <w:tcPr>
            <w:tcW w:type="dxa" w:w="2937"/>
            <w:vAlign w:val="top"/>
          </w:tcPr>
          <w:p>
            <w:pPr>
              <w:spacing w:before="30" w:after="30" w:line="240" w:lineRule="auto"/>
              <w:jc w:val="left"/>
            </w:pPr>
            <w:r>
              <w:rPr>
                <w:rFonts w:ascii="Arial" w:hAnsi="Arial"/>
                <w:b w:val="0"/>
                <w:color w:val="1A1A1A"/>
                <w:sz w:val="18"/>
              </w:rPr>
              <w:t>Por verificar</w:t>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Las tres resoluciones anteriores se conservan en el libro con la marca de pendiente de verificación. No se han podido comprobar en la fuente judicial durante la preparación de esta edición, y presentarlas como confirmadas sería dar por hecho algo que no está comprobado. Un técnico que necesite citarlas debe abrir la fuente y comprobar su texto íntegro, su estado y el procedimiento aplicable.</w:t>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Anexo I · Fuentes y bibliografía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