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F168D" w14:textId="77777777" w:rsidR="000B3470" w:rsidRDefault="00147450" w:rsidP="00AF420A">
      <w:pPr>
        <w:pStyle w:val="Ttulo-REP"/>
        <w:spacing w:beforeLines="60" w:before="144" w:afterLines="60" w:after="144"/>
        <w:rPr>
          <w:lang w:val="en-US"/>
        </w:rPr>
      </w:pPr>
      <w:bookmarkStart w:id="0" w:name="_GoBack"/>
      <w:bookmarkEnd w:id="0"/>
      <w:r>
        <w:t xml:space="preserve">An alert on the recent fall </w:t>
      </w:r>
      <w:r w:rsidR="00FB2464">
        <w:t>of</w:t>
      </w:r>
      <w:r>
        <w:t xml:space="preserve"> the</w:t>
      </w:r>
      <w:r w:rsidR="00FB2464">
        <w:t xml:space="preserve"> </w:t>
      </w:r>
      <w:r w:rsidR="00FB2464" w:rsidRPr="00FB2464">
        <w:rPr>
          <w:lang w:val="en-US"/>
        </w:rPr>
        <w:t>fiscal reaction in B</w:t>
      </w:r>
      <w:r w:rsidRPr="00FB2464">
        <w:rPr>
          <w:lang w:val="en-US"/>
        </w:rPr>
        <w:t>razil</w:t>
      </w:r>
    </w:p>
    <w:p w14:paraId="7E90E92C" w14:textId="77777777" w:rsidR="00F14349" w:rsidRPr="004B36BD" w:rsidRDefault="00F14349" w:rsidP="00AF420A">
      <w:pPr>
        <w:pStyle w:val="Ttulo-REP"/>
        <w:spacing w:beforeLines="60" w:before="144" w:afterLines="60" w:after="144"/>
        <w:rPr>
          <w:b w:val="0"/>
          <w:sz w:val="28"/>
          <w:szCs w:val="28"/>
          <w:lang w:val="pt-BR"/>
        </w:rPr>
      </w:pPr>
      <w:r w:rsidRPr="004B36BD">
        <w:rPr>
          <w:b w:val="0"/>
          <w:sz w:val="28"/>
          <w:szCs w:val="28"/>
          <w:lang w:val="pt-BR"/>
        </w:rPr>
        <w:t>Um alerta sobre a recente queda na reação fiscal no Brasil</w:t>
      </w:r>
    </w:p>
    <w:p w14:paraId="184E47E7" w14:textId="77777777" w:rsidR="004C29AF" w:rsidRPr="00FB2464" w:rsidRDefault="004C29AF" w:rsidP="00AF420A">
      <w:pPr>
        <w:pStyle w:val="Autor-REP"/>
        <w:spacing w:beforeLines="60" w:before="144" w:afterLines="60" w:after="144"/>
        <w:rPr>
          <w:lang w:val="pt-BR"/>
        </w:rPr>
      </w:pPr>
      <w:r w:rsidRPr="00FB2464">
        <w:rPr>
          <w:lang w:val="pt-BR"/>
        </w:rPr>
        <w:t>Eduardo Lima Campos</w:t>
      </w:r>
      <w:r w:rsidRPr="00790D3F">
        <w:rPr>
          <w:rStyle w:val="Refdenotaderodap"/>
          <w:rFonts w:cs="Times New Roman"/>
          <w:color w:val="000000" w:themeColor="text1"/>
          <w:sz w:val="24"/>
          <w:szCs w:val="24"/>
          <w:lang w:val="pt-BR"/>
        </w:rPr>
        <w:footnoteReference w:id="2"/>
      </w:r>
      <w:r w:rsidR="00FB2464" w:rsidRPr="00FB2464">
        <w:rPr>
          <w:lang w:val="pt-BR"/>
        </w:rPr>
        <w:br/>
      </w:r>
      <w:r w:rsidRPr="00FB2464">
        <w:rPr>
          <w:lang w:val="pt-BR"/>
        </w:rPr>
        <w:t>Rubens Penha Cysne</w:t>
      </w:r>
      <w:r w:rsidRPr="00790D3F">
        <w:rPr>
          <w:rStyle w:val="Refdenotaderodap"/>
          <w:rFonts w:cs="Times New Roman"/>
          <w:color w:val="000000" w:themeColor="text1"/>
          <w:sz w:val="24"/>
          <w:szCs w:val="24"/>
          <w:lang w:val="pt-BR"/>
        </w:rPr>
        <w:footnoteReference w:id="3"/>
      </w:r>
    </w:p>
    <w:p w14:paraId="7E16B046" w14:textId="44BE311D" w:rsidR="00DA09AF" w:rsidRPr="00DA09AF" w:rsidRDefault="00DA09AF" w:rsidP="00DA09AF">
      <w:pPr>
        <w:pStyle w:val="Resumo-REP"/>
        <w:spacing w:beforeLines="60" w:before="144" w:afterLines="60" w:after="144"/>
      </w:pPr>
      <w:r w:rsidRPr="00DA09AF">
        <w:t>Resumo - Avaliações recentes de como o superávit primário do governo brasileiro reage à evolução da relação dívida/PIB transmitem duas mensagens importantes (e preocupantes): em primeiro lugar, a</w:t>
      </w:r>
      <w:r w:rsidR="00C42A45">
        <w:t xml:space="preserve"> função de</w:t>
      </w:r>
      <w:r w:rsidRPr="00DA09AF">
        <w:t xml:space="preserve"> reação</w:t>
      </w:r>
      <w:r w:rsidR="00C42A45">
        <w:t xml:space="preserve"> fiscal</w:t>
      </w:r>
      <w:r w:rsidRPr="00DA09AF">
        <w:t xml:space="preserve"> vem diminuindo quase constantemente desde 2012. Em segundo, passou de positiv</w:t>
      </w:r>
      <w:r w:rsidR="00C42A45">
        <w:t>a</w:t>
      </w:r>
      <w:r w:rsidRPr="00DA09AF">
        <w:t xml:space="preserve"> para negativ</w:t>
      </w:r>
      <w:r w:rsidR="00C42A45">
        <w:t>a</w:t>
      </w:r>
      <w:r w:rsidRPr="00DA09AF">
        <w:t xml:space="preserve"> a partir de outubro de 2017. Com taxas de juros reais efetivas (sobre a dívida pública líquida) maiores do que as perspectivas de crescimento do PIB, os números negativos para a função de reação fiscal significam uma trajetória não sustentável da dívida. Portanto, ajustes fiscais significativos terão que ser feitos no curto prazo.</w:t>
      </w:r>
    </w:p>
    <w:p w14:paraId="47757041" w14:textId="77777777" w:rsidR="00DA09AF" w:rsidRPr="00DA09AF" w:rsidRDefault="00DA09AF" w:rsidP="00DA09AF">
      <w:pPr>
        <w:pStyle w:val="Resumo-REP"/>
        <w:spacing w:beforeLines="60" w:before="144" w:afterLines="60" w:after="144"/>
      </w:pPr>
      <w:r w:rsidRPr="00DA09AF">
        <w:t>Palavras-chave: Brasil; dívida pública; reação fiscal; sustentabilidade fiscal; filtro de Kalman.</w:t>
      </w:r>
    </w:p>
    <w:p w14:paraId="7F604D25" w14:textId="66C16B19" w:rsidR="00DA09AF" w:rsidRPr="00DA09AF" w:rsidRDefault="00DA09AF" w:rsidP="00DA09AF">
      <w:pPr>
        <w:pStyle w:val="Resumo-REP"/>
        <w:spacing w:beforeLines="60" w:before="144" w:afterLines="60" w:after="144"/>
        <w:rPr>
          <w:lang w:val="en-US"/>
        </w:rPr>
      </w:pPr>
      <w:r w:rsidRPr="00DA09AF">
        <w:rPr>
          <w:lang w:val="en-US"/>
        </w:rPr>
        <w:t>Abstract - Recent evaluations of how the Brazilian government’s primary surplus reacts to the evolution of the debt to GDP ratio convey two important (and worrisome) messages: first, the reaction function has been almost steadily decreasing since 2012. Second, it</w:t>
      </w:r>
      <w:r w:rsidR="00C42A45">
        <w:rPr>
          <w:lang w:val="en-US"/>
        </w:rPr>
        <w:t xml:space="preserve"> </w:t>
      </w:r>
      <w:r w:rsidRPr="00DA09AF">
        <w:rPr>
          <w:lang w:val="en-US"/>
        </w:rPr>
        <w:t>has turned from positive to negative figures as of October 2017. With effective real interest rates (over the net government debt) higher than prospects of GDP growth, negative figures for the fiscal reaction function mean a non-sustainable debt trajectory. Therefore, significant fiscal adjustments are required in the short run.</w:t>
      </w:r>
    </w:p>
    <w:p w14:paraId="2C7C74FC" w14:textId="77777777" w:rsidR="00DA09AF" w:rsidRPr="00DA09AF" w:rsidRDefault="00DA09AF" w:rsidP="00DA09AF">
      <w:pPr>
        <w:pStyle w:val="Resumo-REP"/>
        <w:spacing w:beforeLines="60" w:before="144" w:afterLines="60" w:after="144"/>
        <w:rPr>
          <w:lang w:val="en-US"/>
        </w:rPr>
      </w:pPr>
      <w:r w:rsidRPr="00DA09AF">
        <w:rPr>
          <w:lang w:val="en-US"/>
        </w:rPr>
        <w:t>Keywords: Brazil; public debt; fiscal reaction; fiscal sustainability; Kalman filter.</w:t>
      </w:r>
    </w:p>
    <w:p w14:paraId="6C459128" w14:textId="6CFB36CB" w:rsidR="00DA09AF" w:rsidRPr="00DA09AF" w:rsidRDefault="00DA09AF" w:rsidP="00AF420A">
      <w:pPr>
        <w:pStyle w:val="Resumo-REP"/>
        <w:spacing w:beforeLines="60" w:before="144" w:afterLines="60" w:after="144"/>
      </w:pPr>
      <w:r w:rsidRPr="00DA09AF">
        <w:t>JEL Classification</w:t>
      </w:r>
      <w:r w:rsidRPr="00DA09AF">
        <w:rPr>
          <w:b/>
        </w:rPr>
        <w:t>:</w:t>
      </w:r>
      <w:r w:rsidRPr="00DA09AF">
        <w:t xml:space="preserve"> H 30, H 60, E 50.</w:t>
      </w:r>
    </w:p>
    <w:p w14:paraId="08CB3D27" w14:textId="77777777" w:rsidR="00D976AE" w:rsidRPr="00E829F5" w:rsidRDefault="00D976AE" w:rsidP="00AF420A">
      <w:pPr>
        <w:pStyle w:val="SeoI-REP"/>
        <w:spacing w:beforeLines="60" w:before="144" w:afterLines="60" w:after="144"/>
        <w:jc w:val="both"/>
        <w:rPr>
          <w:lang w:val="pt-BR"/>
        </w:rPr>
      </w:pPr>
    </w:p>
    <w:p w14:paraId="7881DDE8" w14:textId="79A34CEE" w:rsidR="00DB0E32" w:rsidRPr="00C40F10" w:rsidRDefault="006A700D" w:rsidP="00AF420A">
      <w:pPr>
        <w:pStyle w:val="SeoI-REP"/>
        <w:spacing w:beforeLines="60" w:before="144" w:afterLines="60" w:after="144"/>
        <w:jc w:val="both"/>
      </w:pPr>
      <w:r w:rsidRPr="00C40F10">
        <w:t>Introduction</w:t>
      </w:r>
    </w:p>
    <w:p w14:paraId="292AFA87" w14:textId="67E886EB" w:rsidR="00690B3B" w:rsidRPr="009A0A7C" w:rsidRDefault="00602536" w:rsidP="005E5845">
      <w:pPr>
        <w:pStyle w:val="texto-REP"/>
      </w:pPr>
      <w:r>
        <w:t>A usual d</w:t>
      </w:r>
      <w:r w:rsidR="00A95C7F">
        <w:t>ebt</w:t>
      </w:r>
      <w:r>
        <w:t>-</w:t>
      </w:r>
      <w:r w:rsidR="00A95C7F">
        <w:t>sustainability condition require</w:t>
      </w:r>
      <w:r>
        <w:t>s</w:t>
      </w:r>
      <w:r w:rsidR="00A95C7F">
        <w:t xml:space="preserve"> that </w:t>
      </w:r>
      <w:r w:rsidR="006A700D" w:rsidRPr="009A0A7C">
        <w:t xml:space="preserve">the </w:t>
      </w:r>
      <w:r w:rsidR="00A95C7F">
        <w:t xml:space="preserve">discounted </w:t>
      </w:r>
      <w:r w:rsidR="006A700D" w:rsidRPr="009A0A7C">
        <w:t>sum of anticipated future primary surplus</w:t>
      </w:r>
      <w:r w:rsidR="006A178F">
        <w:t>es</w:t>
      </w:r>
      <w:r w:rsidR="00A95C7F">
        <w:t xml:space="preserve"> is </w:t>
      </w:r>
      <w:r w:rsidR="006A700D" w:rsidRPr="009A0A7C">
        <w:t xml:space="preserve">sufficient to </w:t>
      </w:r>
      <w:r w:rsidR="00A95C7F">
        <w:t xml:space="preserve">pay off the debt. </w:t>
      </w:r>
      <w:r w:rsidR="00971EA2">
        <w:t xml:space="preserve">The use of statistical analysis is adequate in </w:t>
      </w:r>
      <w:r w:rsidR="00801393">
        <w:t>the evaluation</w:t>
      </w:r>
      <w:r w:rsidR="00690B3B">
        <w:t xml:space="preserve"> of this condition </w:t>
      </w:r>
      <w:r w:rsidR="00971EA2">
        <w:t xml:space="preserve">for </w:t>
      </w:r>
      <w:r w:rsidR="00690B3B">
        <w:t xml:space="preserve">at least two </w:t>
      </w:r>
      <w:r w:rsidR="00971EA2">
        <w:t xml:space="preserve">reasons. First, future values of GDP growth and real interest rates are subject to uncertainty. Second, </w:t>
      </w:r>
      <w:r w:rsidR="00690B3B">
        <w:t xml:space="preserve">past data and past behavior somehow translate the institutional, legal and political </w:t>
      </w:r>
      <w:r>
        <w:t xml:space="preserve">conditions </w:t>
      </w:r>
      <w:r w:rsidR="00690B3B">
        <w:t>under which the control of public revenue and expenditures is to be achieved</w:t>
      </w:r>
      <w:r>
        <w:t xml:space="preserve"> in the future</w:t>
      </w:r>
      <w:r w:rsidR="00AF420A">
        <w:t>.</w:t>
      </w:r>
    </w:p>
    <w:p w14:paraId="70D9E096" w14:textId="77777777" w:rsidR="0090095A" w:rsidRDefault="00442C9A" w:rsidP="005E5845">
      <w:pPr>
        <w:pStyle w:val="texto-REP"/>
      </w:pPr>
      <w:r w:rsidRPr="009A0A7C">
        <w:t xml:space="preserve">One approach to investigating </w:t>
      </w:r>
      <w:r>
        <w:t xml:space="preserve">debt </w:t>
      </w:r>
      <w:r w:rsidRPr="009A0A7C">
        <w:t xml:space="preserve">sustainability </w:t>
      </w:r>
      <w:r>
        <w:t xml:space="preserve">[Bohn (1998)] relies on </w:t>
      </w:r>
      <w:r w:rsidR="001E4575">
        <w:t xml:space="preserve">the concept of </w:t>
      </w:r>
      <w:r w:rsidR="00602536">
        <w:t xml:space="preserve">a </w:t>
      </w:r>
      <w:r w:rsidR="0073515C">
        <w:t>fiscal</w:t>
      </w:r>
      <w:r w:rsidR="00602536">
        <w:t>-</w:t>
      </w:r>
      <w:r w:rsidR="0073515C">
        <w:t>reaction</w:t>
      </w:r>
      <w:r w:rsidR="0090095A" w:rsidRPr="009A0A7C">
        <w:t xml:space="preserve"> function</w:t>
      </w:r>
      <w:r>
        <w:t xml:space="preserve">, which </w:t>
      </w:r>
      <w:r w:rsidR="0090095A" w:rsidRPr="009A0A7C">
        <w:t xml:space="preserve">establishes a relationship between primary </w:t>
      </w:r>
      <w:r w:rsidR="000A36F0" w:rsidRPr="009A0A7C">
        <w:t>surplus</w:t>
      </w:r>
      <w:r w:rsidR="0090095A" w:rsidRPr="009A0A7C">
        <w:t xml:space="preserve">es and </w:t>
      </w:r>
      <w:r w:rsidR="003B4499">
        <w:t xml:space="preserve">the </w:t>
      </w:r>
      <w:r w:rsidR="0090095A" w:rsidRPr="009A0A7C">
        <w:t>debt</w:t>
      </w:r>
      <w:r w:rsidR="003B4499">
        <w:t>/GDP ratio</w:t>
      </w:r>
      <w:r w:rsidR="0090095A" w:rsidRPr="009A0A7C">
        <w:t xml:space="preserve">. The </w:t>
      </w:r>
      <w:r w:rsidR="00602536">
        <w:t xml:space="preserve">underlying </w:t>
      </w:r>
      <w:r w:rsidR="0090095A" w:rsidRPr="009A0A7C">
        <w:t xml:space="preserve">idea is to </w:t>
      </w:r>
      <w:r w:rsidR="00602536">
        <w:t xml:space="preserve">assess </w:t>
      </w:r>
      <w:r w:rsidR="0090095A" w:rsidRPr="009A0A7C">
        <w:t xml:space="preserve">if, and to what extent, </w:t>
      </w:r>
      <w:r>
        <w:t xml:space="preserve">fiscal revenues and expenditures react to the evolution of the debt/GDP ratio. </w:t>
      </w:r>
    </w:p>
    <w:p w14:paraId="7189C8A2" w14:textId="77777777" w:rsidR="00CA57CB" w:rsidRDefault="000B3470" w:rsidP="005E5845">
      <w:pPr>
        <w:pStyle w:val="texto-REP"/>
      </w:pPr>
      <w:r>
        <w:t xml:space="preserve">This </w:t>
      </w:r>
      <w:r w:rsidR="00442C9A">
        <w:t xml:space="preserve">paper </w:t>
      </w:r>
      <w:r w:rsidR="00CA57CB">
        <w:t xml:space="preserve">draws on Campos and Cysne (2018) to </w:t>
      </w:r>
      <w:r w:rsidR="00D45B0E">
        <w:t xml:space="preserve">investigate </w:t>
      </w:r>
      <w:r w:rsidR="00CA57CB">
        <w:t>two specific issues. First, the fall of the fiscal</w:t>
      </w:r>
      <w:r w:rsidR="00DA1D75">
        <w:t>-</w:t>
      </w:r>
      <w:r w:rsidR="00CA57CB">
        <w:t xml:space="preserve">reaction function in the more recent period, leading to negative values </w:t>
      </w:r>
      <w:r w:rsidR="00442C9A">
        <w:t xml:space="preserve">of this coefficient </w:t>
      </w:r>
      <w:r w:rsidR="00CA57CB">
        <w:t xml:space="preserve">as of </w:t>
      </w:r>
      <w:r w:rsidR="001926E7">
        <w:t>October/2017</w:t>
      </w:r>
      <w:r w:rsidR="00DA1D75">
        <w:t>;</w:t>
      </w:r>
      <w:r w:rsidR="00801393">
        <w:t xml:space="preserve"> and s</w:t>
      </w:r>
      <w:r w:rsidR="00CA57CB">
        <w:t>econd</w:t>
      </w:r>
      <w:r w:rsidR="00442C9A">
        <w:t>,</w:t>
      </w:r>
      <w:r w:rsidR="00CA57CB">
        <w:t xml:space="preserve"> the robustness of the results </w:t>
      </w:r>
      <w:r w:rsidR="00442C9A">
        <w:t xml:space="preserve">achieved Campos and Cysne </w:t>
      </w:r>
      <w:r w:rsidR="00DA1D75">
        <w:t xml:space="preserve">(2018) </w:t>
      </w:r>
      <w:r w:rsidR="00442C9A">
        <w:t xml:space="preserve">regarding an alternative </w:t>
      </w:r>
      <w:r w:rsidR="00CA57CB">
        <w:t xml:space="preserve">concept of </w:t>
      </w:r>
      <w:r w:rsidR="00DA1D75">
        <w:t>government</w:t>
      </w:r>
      <w:r w:rsidR="00CA57CB">
        <w:t xml:space="preserve">. </w:t>
      </w:r>
      <w:r w:rsidR="00442C9A">
        <w:t>The database is extended, relatively to Campos and Cysne (2018)</w:t>
      </w:r>
      <w:r w:rsidR="00DA1D75">
        <w:t>,</w:t>
      </w:r>
      <w:r w:rsidR="00442C9A">
        <w:t xml:space="preserve"> to a different definition of government and to a more recent period.</w:t>
      </w:r>
    </w:p>
    <w:p w14:paraId="4DE2EFA7" w14:textId="77777777" w:rsidR="0090095A" w:rsidRDefault="00801393" w:rsidP="005E5845">
      <w:pPr>
        <w:pStyle w:val="texto-REP"/>
      </w:pPr>
      <w:r>
        <w:rPr>
          <w:color w:val="000000" w:themeColor="text1"/>
        </w:rPr>
        <w:t>We estimate</w:t>
      </w:r>
      <w:r w:rsidR="000B3470">
        <w:rPr>
          <w:color w:val="000000" w:themeColor="text1"/>
        </w:rPr>
        <w:t xml:space="preserve"> the Brazilian </w:t>
      </w:r>
      <w:r w:rsidR="0073515C">
        <w:rPr>
          <w:color w:val="000000" w:themeColor="text1"/>
        </w:rPr>
        <w:t>fiscal</w:t>
      </w:r>
      <w:r w:rsidR="00602536">
        <w:rPr>
          <w:color w:val="000000" w:themeColor="text1"/>
        </w:rPr>
        <w:t>-</w:t>
      </w:r>
      <w:r w:rsidR="0073515C">
        <w:rPr>
          <w:color w:val="000000" w:themeColor="text1"/>
        </w:rPr>
        <w:t>reaction</w:t>
      </w:r>
      <w:r w:rsidR="000B3470">
        <w:rPr>
          <w:color w:val="000000" w:themeColor="text1"/>
        </w:rPr>
        <w:t xml:space="preserve"> function </w:t>
      </w:r>
      <w:r w:rsidR="00602536">
        <w:rPr>
          <w:color w:val="000000" w:themeColor="text1"/>
        </w:rPr>
        <w:t xml:space="preserve">allowing for </w:t>
      </w:r>
      <w:r w:rsidR="00CA57CB">
        <w:rPr>
          <w:color w:val="000000" w:themeColor="text1"/>
        </w:rPr>
        <w:t xml:space="preserve">time-varying coefficients. The data covers the period from </w:t>
      </w:r>
      <w:r w:rsidR="001926E7" w:rsidRPr="00A9519B">
        <w:t>January 2012 to Jun</w:t>
      </w:r>
      <w:r w:rsidR="00602536">
        <w:t>e</w:t>
      </w:r>
      <w:r w:rsidR="001926E7" w:rsidRPr="00A9519B">
        <w:t xml:space="preserve"> 2018</w:t>
      </w:r>
      <w:r w:rsidR="00CA57CB">
        <w:rPr>
          <w:color w:val="000000" w:themeColor="text1"/>
        </w:rPr>
        <w:t xml:space="preserve">. </w:t>
      </w:r>
      <w:r w:rsidR="0090095A" w:rsidRPr="00CA57CB">
        <w:t xml:space="preserve">The specifications </w:t>
      </w:r>
      <w:r w:rsidR="00CA57CB">
        <w:t xml:space="preserve">follow </w:t>
      </w:r>
      <w:r w:rsidR="00DB520A">
        <w:t xml:space="preserve">the functional form </w:t>
      </w:r>
      <w:r w:rsidR="00DB520A">
        <w:lastRenderedPageBreak/>
        <w:t xml:space="preserve">proposed by </w:t>
      </w:r>
      <w:r w:rsidR="0090095A" w:rsidRPr="00CA57CB">
        <w:t xml:space="preserve">Bohn (1998), </w:t>
      </w:r>
      <w:r w:rsidR="00602536">
        <w:t xml:space="preserve">while </w:t>
      </w:r>
      <w:r w:rsidR="00DA1D75">
        <w:t xml:space="preserve">taking into consideration </w:t>
      </w:r>
      <w:r w:rsidR="00CA57CB">
        <w:t xml:space="preserve">specificities of the Brazilian case. </w:t>
      </w:r>
    </w:p>
    <w:p w14:paraId="1610BCCD" w14:textId="55104D30" w:rsidR="002E11DD" w:rsidRPr="00063D07" w:rsidRDefault="00801393" w:rsidP="005E5845">
      <w:pPr>
        <w:pStyle w:val="texto-REP"/>
      </w:pPr>
      <w:r>
        <w:t>The data</w:t>
      </w:r>
      <w:r w:rsidR="00602536">
        <w:t xml:space="preserve"> indicates a </w:t>
      </w:r>
      <w:r w:rsidR="00A16D30" w:rsidRPr="00A16D30">
        <w:t>non</w:t>
      </w:r>
      <w:r w:rsidR="00D976AE">
        <w:t>-</w:t>
      </w:r>
      <w:r w:rsidR="00A16D30" w:rsidRPr="00A16D30">
        <w:t>sustainable</w:t>
      </w:r>
      <w:r>
        <w:t xml:space="preserve"> </w:t>
      </w:r>
      <w:r w:rsidR="00C77A46">
        <w:t xml:space="preserve">public </w:t>
      </w:r>
      <w:r w:rsidR="00A16D30" w:rsidRPr="00A16D30">
        <w:t>debt trajectory</w:t>
      </w:r>
      <w:r w:rsidR="002E11DD" w:rsidRPr="00A16D30">
        <w:t xml:space="preserve">. </w:t>
      </w:r>
      <w:r w:rsidR="00DB520A">
        <w:t xml:space="preserve">As in Campos and Cysne (2018), we </w:t>
      </w:r>
      <w:r w:rsidR="002E11DD" w:rsidRPr="00A16D30">
        <w:t xml:space="preserve">reject the </w:t>
      </w:r>
      <w:r w:rsidR="00C77A46" w:rsidRPr="00A16D30">
        <w:t>constant</w:t>
      </w:r>
      <w:r w:rsidR="00C77A46">
        <w:t>-</w:t>
      </w:r>
      <w:r w:rsidR="00C77A46" w:rsidRPr="00A16D30">
        <w:t xml:space="preserve">coefficients </w:t>
      </w:r>
      <w:r w:rsidR="002E11DD" w:rsidRPr="00A16D30">
        <w:t>hypothesis</w:t>
      </w:r>
      <w:r w:rsidR="00C77A46">
        <w:t xml:space="preserve"> for </w:t>
      </w:r>
      <w:r>
        <w:t>the Brazilian</w:t>
      </w:r>
      <w:r w:rsidR="00C77A46">
        <w:t xml:space="preserve"> </w:t>
      </w:r>
      <w:r w:rsidR="0073515C">
        <w:t>fiscal</w:t>
      </w:r>
      <w:r w:rsidR="00DA1D75">
        <w:t>-</w:t>
      </w:r>
      <w:r w:rsidR="0073515C">
        <w:t>reaction</w:t>
      </w:r>
      <w:r w:rsidR="002E11DD" w:rsidRPr="00A16D30">
        <w:t xml:space="preserve"> function</w:t>
      </w:r>
      <w:r w:rsidR="00C77A46">
        <w:t xml:space="preserve"> for all the </w:t>
      </w:r>
      <w:r>
        <w:t>study</w:t>
      </w:r>
      <w:r w:rsidR="00D976AE">
        <w:t xml:space="preserve"> period</w:t>
      </w:r>
      <w:r w:rsidRPr="00A16D30">
        <w:t>, reinfor</w:t>
      </w:r>
      <w:r>
        <w:t>cing</w:t>
      </w:r>
      <w:r w:rsidR="002E11DD" w:rsidRPr="00A16D30">
        <w:t xml:space="preserve"> the </w:t>
      </w:r>
      <w:r w:rsidR="00D03B05">
        <w:t>relevanc</w:t>
      </w:r>
      <w:r w:rsidR="007621E9" w:rsidRPr="00A16D30">
        <w:t xml:space="preserve">e of </w:t>
      </w:r>
      <w:r>
        <w:t>applying</w:t>
      </w:r>
      <w:r w:rsidRPr="00A16D30">
        <w:t xml:space="preserve"> time</w:t>
      </w:r>
      <w:r w:rsidR="007621E9" w:rsidRPr="00A16D30">
        <w:t>-varying</w:t>
      </w:r>
      <w:r w:rsidR="00C77A46">
        <w:t xml:space="preserve"> coefficient</w:t>
      </w:r>
      <w:r w:rsidR="007621E9" w:rsidRPr="00A16D30">
        <w:t xml:space="preserve"> methods</w:t>
      </w:r>
      <w:r w:rsidR="002E11DD" w:rsidRPr="00A16D30">
        <w:t>.</w:t>
      </w:r>
    </w:p>
    <w:p w14:paraId="1B27C3DD" w14:textId="25367F31" w:rsidR="009C6476" w:rsidRDefault="00D976AE" w:rsidP="005E5845">
      <w:pPr>
        <w:pStyle w:val="texto-REP"/>
      </w:pPr>
      <w:r>
        <w:t>On</w:t>
      </w:r>
      <w:r w:rsidR="00602536">
        <w:t xml:space="preserve"> the remaining of this paper, </w:t>
      </w:r>
      <w:r>
        <w:t xml:space="preserve">the </w:t>
      </w:r>
      <w:r w:rsidR="00FB2464">
        <w:t xml:space="preserve">next </w:t>
      </w:r>
      <w:r w:rsidR="00602536">
        <w:t>s</w:t>
      </w:r>
      <w:r w:rsidR="00F67047">
        <w:t>ection presents a general overview of the main variables</w:t>
      </w:r>
      <w:r w:rsidR="004D58CC">
        <w:t xml:space="preserve"> used in the econometric procedures</w:t>
      </w:r>
      <w:r w:rsidR="00F67047">
        <w:t xml:space="preserve">. </w:t>
      </w:r>
      <w:r w:rsidR="00FB2464">
        <w:t>The third section</w:t>
      </w:r>
      <w:r w:rsidR="00DA1D75">
        <w:t xml:space="preserve"> </w:t>
      </w:r>
      <w:r w:rsidR="00F67047">
        <w:t>present</w:t>
      </w:r>
      <w:r>
        <w:t>s</w:t>
      </w:r>
      <w:r w:rsidR="00F67047">
        <w:t xml:space="preserve"> basic debt dynamic equations and define </w:t>
      </w:r>
      <w:r w:rsidR="009C6476">
        <w:t xml:space="preserve">fiscal sustainability under </w:t>
      </w:r>
      <w:r w:rsidR="00F67047">
        <w:t xml:space="preserve">some </w:t>
      </w:r>
      <w:r w:rsidR="009C6476">
        <w:t xml:space="preserve">simplifying assumptions. </w:t>
      </w:r>
      <w:r w:rsidR="004D58CC">
        <w:t xml:space="preserve">Under the framework presented, </w:t>
      </w:r>
      <w:r w:rsidR="009C6476">
        <w:t xml:space="preserve">debt sustainability requires the difference between the real effective interest rate </w:t>
      </w:r>
      <w:r w:rsidR="00F67047">
        <w:t xml:space="preserve">– </w:t>
      </w:r>
      <w:r w:rsidR="009C6476">
        <w:t xml:space="preserve">corrected for GDP growth </w:t>
      </w:r>
      <w:r w:rsidR="00F67047">
        <w:t xml:space="preserve">- </w:t>
      </w:r>
      <w:r w:rsidR="009C6476">
        <w:t xml:space="preserve">and the fiscal reaction coefficient </w:t>
      </w:r>
      <w:r>
        <w:t xml:space="preserve">to </w:t>
      </w:r>
      <w:r w:rsidR="009C6476">
        <w:t xml:space="preserve">be negative. Since effective real interest rates </w:t>
      </w:r>
      <w:r w:rsidR="00F67047">
        <w:t xml:space="preserve">accruing on the </w:t>
      </w:r>
      <w:r w:rsidR="009C6476">
        <w:t xml:space="preserve">net </w:t>
      </w:r>
      <w:r w:rsidR="00F67047">
        <w:t xml:space="preserve">public </w:t>
      </w:r>
      <w:r w:rsidR="009C6476">
        <w:t>debt are clearly higher</w:t>
      </w:r>
      <w:r w:rsidR="00F67047">
        <w:t xml:space="preserve"> than </w:t>
      </w:r>
      <w:r w:rsidR="009C6476">
        <w:t>the prospects of GDP growth, a negative fiscal reaction function</w:t>
      </w:r>
      <w:r w:rsidR="00F67047">
        <w:t xml:space="preserve">, as obtained in the more recent period, </w:t>
      </w:r>
      <w:r w:rsidR="009C6476">
        <w:t>indicates very clearly the non</w:t>
      </w:r>
      <w:r>
        <w:t>-</w:t>
      </w:r>
      <w:r w:rsidR="009C6476">
        <w:t xml:space="preserve">sustainability of </w:t>
      </w:r>
      <w:r w:rsidR="00DA1D75">
        <w:t xml:space="preserve">the present </w:t>
      </w:r>
      <w:r w:rsidR="00AF420A">
        <w:t>fiscal policy in Brazil.</w:t>
      </w:r>
    </w:p>
    <w:p w14:paraId="5F91C263" w14:textId="3B9C3C67" w:rsidR="00E71A48" w:rsidRDefault="00D976AE" w:rsidP="005E5845">
      <w:pPr>
        <w:pStyle w:val="texto-REP"/>
      </w:pPr>
      <w:r w:rsidRPr="00877AA4">
        <w:rPr>
          <w:color w:val="000000" w:themeColor="text1"/>
          <w:lang w:val="en-US"/>
        </w:rPr>
        <w:t>The fourth and fifth sections presents</w:t>
      </w:r>
      <w:r>
        <w:rPr>
          <w:color w:val="000000" w:themeColor="text1"/>
          <w:lang w:val="en-US"/>
        </w:rPr>
        <w:t>, respectively,</w:t>
      </w:r>
      <w:r w:rsidR="00AE5029">
        <w:t xml:space="preserve"> a detailed description of the </w:t>
      </w:r>
      <w:r w:rsidR="005B222A" w:rsidRPr="00063D07">
        <w:t xml:space="preserve">variables used in the </w:t>
      </w:r>
      <w:r w:rsidR="00AE5029">
        <w:t>econometric model</w:t>
      </w:r>
      <w:r w:rsidR="004D58CC">
        <w:t xml:space="preserve"> and the basic results. </w:t>
      </w:r>
      <w:r>
        <w:t>The l</w:t>
      </w:r>
      <w:r w:rsidR="00FB2464">
        <w:t>ast s</w:t>
      </w:r>
      <w:r w:rsidR="00EE4BCB" w:rsidRPr="00063D07">
        <w:t xml:space="preserve">ection </w:t>
      </w:r>
      <w:r w:rsidR="004D58CC">
        <w:t>concludes</w:t>
      </w:r>
      <w:r w:rsidR="00C240FF">
        <w:t>.</w:t>
      </w:r>
    </w:p>
    <w:p w14:paraId="40E402FC" w14:textId="77777777" w:rsidR="00AF420A" w:rsidRDefault="00AF420A" w:rsidP="00AF420A">
      <w:pPr>
        <w:pStyle w:val="SeoI-REP"/>
        <w:spacing w:beforeLines="60" w:before="144" w:afterLines="60" w:after="144"/>
        <w:jc w:val="both"/>
      </w:pPr>
    </w:p>
    <w:p w14:paraId="75DB2647" w14:textId="08CD23D3" w:rsidR="00CD6AAB" w:rsidRPr="002E4670" w:rsidRDefault="009C6476" w:rsidP="00AF420A">
      <w:pPr>
        <w:pStyle w:val="SeoI-REP"/>
        <w:spacing w:beforeLines="60" w:before="144" w:afterLines="60" w:after="144"/>
        <w:jc w:val="both"/>
      </w:pPr>
      <w:r w:rsidRPr="002E4670">
        <w:t>Data Overview</w:t>
      </w:r>
    </w:p>
    <w:p w14:paraId="73587B95" w14:textId="100D4D48" w:rsidR="00F33B6D" w:rsidRDefault="00AE5029" w:rsidP="005E5845">
      <w:pPr>
        <w:pStyle w:val="texto-REP"/>
      </w:pPr>
      <w:r w:rsidRPr="00FB2464">
        <w:t xml:space="preserve">Figure 1 shows the evolution of the two main variables </w:t>
      </w:r>
      <w:r w:rsidR="00E30371">
        <w:t>in</w:t>
      </w:r>
      <w:r w:rsidRPr="00FB2464">
        <w:t xml:space="preserve"> the calculation of the fiscal</w:t>
      </w:r>
      <w:r w:rsidR="004D58CC" w:rsidRPr="00FB2464">
        <w:t>-</w:t>
      </w:r>
      <w:r w:rsidRPr="00FB2464">
        <w:t xml:space="preserve">reaction function, the debt to GDP ratio and the primary surplus. </w:t>
      </w:r>
      <w:r w:rsidR="00F67047">
        <w:t xml:space="preserve">A </w:t>
      </w:r>
      <w:r w:rsidR="00F33B6D">
        <w:t>c</w:t>
      </w:r>
      <w:r w:rsidR="00F67047">
        <w:t xml:space="preserve">omplete description of these variables is presented </w:t>
      </w:r>
      <w:r w:rsidR="00DE7C75">
        <w:t>at the fourth section</w:t>
      </w:r>
      <w:r w:rsidR="00F67047">
        <w:t xml:space="preserve">. </w:t>
      </w:r>
      <w:r>
        <w:t xml:space="preserve">In both cases, we extend the analysis presented in Campos and Cysne </w:t>
      </w:r>
      <w:r w:rsidR="004D58CC">
        <w:t xml:space="preserve">(2018) </w:t>
      </w:r>
      <w:r>
        <w:t>and work with two definitions of government: the “</w:t>
      </w:r>
      <w:r w:rsidR="00483775">
        <w:t>Consolidated Public Sector</w:t>
      </w:r>
      <w:r w:rsidR="004D58CC">
        <w:t xml:space="preserve"> (CPS)</w:t>
      </w:r>
      <w:r>
        <w:t>” and the, so called</w:t>
      </w:r>
      <w:r w:rsidR="004D58CC">
        <w:t>,</w:t>
      </w:r>
      <w:r>
        <w:t xml:space="preserve"> “</w:t>
      </w:r>
      <w:r w:rsidR="00483775">
        <w:t>General Government</w:t>
      </w:r>
      <w:r w:rsidR="004D58CC">
        <w:t xml:space="preserve"> (GG)</w:t>
      </w:r>
      <w:r>
        <w:t xml:space="preserve">”. </w:t>
      </w:r>
      <w:r w:rsidR="00DE7C75">
        <w:t xml:space="preserve">In Figure </w:t>
      </w:r>
      <w:r w:rsidR="00DA1D75">
        <w:t xml:space="preserve">1, </w:t>
      </w:r>
      <w:r w:rsidR="00542A97">
        <w:t xml:space="preserve">PSND and GGND stand for the net debt, respectively, of the </w:t>
      </w:r>
      <w:r w:rsidR="00483775">
        <w:t>Consolidated Public Sector</w:t>
      </w:r>
      <w:r w:rsidR="00542A97">
        <w:t xml:space="preserve"> and of the </w:t>
      </w:r>
      <w:r w:rsidR="00483775">
        <w:t>General Government</w:t>
      </w:r>
      <w:r w:rsidR="00542A97">
        <w:t xml:space="preserve">. </w:t>
      </w:r>
    </w:p>
    <w:p w14:paraId="248A04D5" w14:textId="77777777" w:rsidR="001926E7" w:rsidRPr="006A0603" w:rsidRDefault="001926E7" w:rsidP="00AF420A">
      <w:pPr>
        <w:spacing w:beforeLines="60" w:before="144" w:afterLines="60" w:after="144" w:line="360" w:lineRule="auto"/>
        <w:ind w:firstLine="357"/>
        <w:jc w:val="both"/>
        <w:rPr>
          <w:color w:val="000000" w:themeColor="text1"/>
          <w:sz w:val="6"/>
          <w:lang w:val="en-US"/>
        </w:rPr>
      </w:pPr>
    </w:p>
    <w:p w14:paraId="2D95114C" w14:textId="045073BD" w:rsidR="00AE5029" w:rsidRPr="008F0DA6" w:rsidRDefault="00AE5029" w:rsidP="00A70B91">
      <w:pPr>
        <w:pStyle w:val="Tabela-REP"/>
      </w:pPr>
      <w:r w:rsidRPr="008F0DA6">
        <w:t>Figure 1</w:t>
      </w:r>
      <w:r w:rsidR="008F0DA6" w:rsidRPr="008F0DA6">
        <w:t xml:space="preserve">. </w:t>
      </w:r>
      <w:r w:rsidR="00F33B6D" w:rsidRPr="008F0DA6">
        <w:t xml:space="preserve">Primary Surplus/GDP x </w:t>
      </w:r>
      <w:r w:rsidR="00DA1D75" w:rsidRPr="008F0DA6">
        <w:t>Net</w:t>
      </w:r>
      <w:r w:rsidR="00F33B6D" w:rsidRPr="008F0DA6">
        <w:t xml:space="preserve"> Debt/GDP</w:t>
      </w:r>
    </w:p>
    <w:p w14:paraId="4AC56235" w14:textId="77777777" w:rsidR="00BF2A6A" w:rsidRDefault="00BF2A6A" w:rsidP="00A70B91">
      <w:pPr>
        <w:spacing w:beforeLines="60" w:before="144" w:afterLines="60" w:after="144" w:line="360" w:lineRule="auto"/>
        <w:ind w:firstLine="357"/>
        <w:jc w:val="center"/>
        <w:rPr>
          <w:color w:val="000000" w:themeColor="text1"/>
          <w:sz w:val="24"/>
        </w:rPr>
      </w:pPr>
      <w:r>
        <w:rPr>
          <w:noProof/>
          <w:color w:val="000000" w:themeColor="text1"/>
          <w:sz w:val="24"/>
          <w:lang w:eastAsia="pt-BR"/>
        </w:rPr>
        <w:drawing>
          <wp:inline distT="0" distB="0" distL="0" distR="0" wp14:anchorId="66B9751A" wp14:editId="73CE4946">
            <wp:extent cx="4665162" cy="291265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6575" cy="2938513"/>
                    </a:xfrm>
                    <a:prstGeom prst="rect">
                      <a:avLst/>
                    </a:prstGeom>
                    <a:noFill/>
                  </pic:spPr>
                </pic:pic>
              </a:graphicData>
            </a:graphic>
          </wp:inline>
        </w:drawing>
      </w:r>
    </w:p>
    <w:p w14:paraId="11555DAE" w14:textId="77777777" w:rsidR="004D58CC" w:rsidRDefault="004D58CC" w:rsidP="005E5845">
      <w:pPr>
        <w:pStyle w:val="texto-REP"/>
      </w:pPr>
      <w:r w:rsidRPr="00FB2464">
        <w:t xml:space="preserve">As one can note from Figure 1, the differences concerning the two definitions of government is </w:t>
      </w:r>
      <w:r w:rsidR="008D5531" w:rsidRPr="00FB2464">
        <w:t xml:space="preserve">practically </w:t>
      </w:r>
      <w:r w:rsidRPr="00FB2464">
        <w:t>immaterial</w:t>
      </w:r>
      <w:r w:rsidR="008D5531" w:rsidRPr="00FB2464">
        <w:t xml:space="preserve"> for the variables considered</w:t>
      </w:r>
      <w:r w:rsidRPr="00FB2464">
        <w:t xml:space="preserve">. </w:t>
      </w:r>
      <w:r>
        <w:t xml:space="preserve">Very close results, therefore, should be expected from the empirical analysis under these two different sets of data. </w:t>
      </w:r>
    </w:p>
    <w:p w14:paraId="12F78832" w14:textId="77777777" w:rsidR="006D1868" w:rsidRPr="009A0A7C" w:rsidRDefault="006D1868" w:rsidP="005E5845">
      <w:pPr>
        <w:pStyle w:val="texto-REP"/>
      </w:pPr>
      <w:r>
        <w:lastRenderedPageBreak/>
        <w:t>T</w:t>
      </w:r>
      <w:r w:rsidRPr="009A0A7C">
        <w:t xml:space="preserve">he </w:t>
      </w:r>
      <w:r w:rsidR="008D5531">
        <w:t>d</w:t>
      </w:r>
      <w:r w:rsidRPr="009A0A7C">
        <w:t>ebt</w:t>
      </w:r>
      <w:r w:rsidR="008D5531">
        <w:t>/GDP</w:t>
      </w:r>
      <w:r w:rsidRPr="009A0A7C">
        <w:t xml:space="preserve"> </w:t>
      </w:r>
      <w:r>
        <w:t>r</w:t>
      </w:r>
      <w:r w:rsidRPr="009A0A7C">
        <w:t xml:space="preserve">atio shows </w:t>
      </w:r>
      <w:r w:rsidR="00542A97">
        <w:t xml:space="preserve">initially a decreasing trend, and then </w:t>
      </w:r>
      <w:r w:rsidRPr="009A0A7C">
        <w:t>a</w:t>
      </w:r>
      <w:r w:rsidR="002C0E0E">
        <w:t>n increasing</w:t>
      </w:r>
      <w:r w:rsidRPr="009A0A7C">
        <w:t xml:space="preserve"> trend</w:t>
      </w:r>
      <w:r w:rsidR="00542A97">
        <w:t xml:space="preserve"> as of January of 2014. </w:t>
      </w:r>
      <w:r w:rsidRPr="00FB2464">
        <w:t>The series change the sign of the correlation</w:t>
      </w:r>
      <w:r w:rsidR="002C0E0E" w:rsidRPr="00FB2464">
        <w:t xml:space="preserve">, </w:t>
      </w:r>
      <w:r w:rsidRPr="00FB2464">
        <w:t>as shown</w:t>
      </w:r>
      <w:r w:rsidR="002C0E0E" w:rsidRPr="00FB2464">
        <w:t xml:space="preserve"> by the 48</w:t>
      </w:r>
      <w:r w:rsidR="008D5531" w:rsidRPr="00FB2464">
        <w:t>-</w:t>
      </w:r>
      <w:r w:rsidR="002C0E0E" w:rsidRPr="00FB2464">
        <w:t>month moving</w:t>
      </w:r>
      <w:r w:rsidR="00542A97" w:rsidRPr="00FB2464">
        <w:t>-</w:t>
      </w:r>
      <w:r w:rsidR="002C0E0E" w:rsidRPr="00FB2464">
        <w:t>average correlations</w:t>
      </w:r>
      <w:r w:rsidRPr="00FB2464">
        <w:t xml:space="preserve"> below</w:t>
      </w:r>
      <w:r w:rsidR="002C0E0E" w:rsidRPr="00FB2464">
        <w:t>, in figure 2</w:t>
      </w:r>
      <w:r w:rsidRPr="00FB2464">
        <w:t>.</w:t>
      </w:r>
      <w:r w:rsidR="00542A97" w:rsidRPr="00FB2464">
        <w:t xml:space="preserve"> </w:t>
      </w:r>
      <w:r w:rsidR="00542A97">
        <w:t>The negative correlation of these two variables as of January 2015 is a hint about a possible change of sign of the fiscal-reaction coefficient. In order to have a sustainable debt/GDP ratio, one would wish a positive, rather than a negative statistical correlation between these two variables.</w:t>
      </w:r>
    </w:p>
    <w:p w14:paraId="2BA479B7" w14:textId="77777777" w:rsidR="00BB7D16" w:rsidRDefault="00BB7D16" w:rsidP="00A70B91">
      <w:pPr>
        <w:pStyle w:val="Tabela-REP"/>
      </w:pPr>
    </w:p>
    <w:p w14:paraId="018535C4" w14:textId="63396354" w:rsidR="006D1868" w:rsidRPr="00FB2464" w:rsidRDefault="002C0E0E" w:rsidP="00A70B91">
      <w:pPr>
        <w:pStyle w:val="Tabela-REP"/>
      </w:pPr>
      <w:r w:rsidRPr="006A0603">
        <w:t xml:space="preserve">Figure 2 </w:t>
      </w:r>
      <w:r w:rsidR="008D5531" w:rsidRPr="006A0603">
        <w:t>–</w:t>
      </w:r>
      <w:r w:rsidRPr="006A0603">
        <w:t xml:space="preserve"> </w:t>
      </w:r>
      <w:r w:rsidR="005B2201" w:rsidRPr="006A0603">
        <w:t xml:space="preserve">Debt/GDP and Primary </w:t>
      </w:r>
      <w:r w:rsidR="00537537" w:rsidRPr="006A0603">
        <w:t>S</w:t>
      </w:r>
      <w:r w:rsidR="005B2201" w:rsidRPr="006A0603">
        <w:t>urplus/GDP correlations</w:t>
      </w:r>
      <w:r w:rsidR="00BB7D16">
        <w:t xml:space="preserve"> </w:t>
      </w:r>
      <w:r w:rsidR="008D5531" w:rsidRPr="00FB2464">
        <w:t>(</w:t>
      </w:r>
      <w:r w:rsidR="005B2201" w:rsidRPr="00FB2464">
        <w:t>48</w:t>
      </w:r>
      <w:r w:rsidR="008D5531" w:rsidRPr="00FB2464">
        <w:t>-</w:t>
      </w:r>
      <w:r w:rsidR="005B2201" w:rsidRPr="00FB2464">
        <w:t>month moving window</w:t>
      </w:r>
      <w:r w:rsidR="008D5531" w:rsidRPr="00FB2464">
        <w:t>)</w:t>
      </w:r>
    </w:p>
    <w:p w14:paraId="6E6C4C7C" w14:textId="77777777" w:rsidR="00B17B80" w:rsidRDefault="00B17B80" w:rsidP="00AF420A">
      <w:pPr>
        <w:spacing w:beforeLines="60" w:before="144" w:afterLines="60" w:after="144" w:line="360" w:lineRule="auto"/>
        <w:ind w:firstLine="357"/>
        <w:jc w:val="both"/>
        <w:rPr>
          <w:color w:val="000000" w:themeColor="text1"/>
          <w:sz w:val="24"/>
        </w:rPr>
      </w:pPr>
      <w:r>
        <w:rPr>
          <w:noProof/>
          <w:color w:val="000000" w:themeColor="text1"/>
          <w:sz w:val="24"/>
          <w:lang w:eastAsia="pt-BR"/>
        </w:rPr>
        <w:drawing>
          <wp:inline distT="0" distB="0" distL="0" distR="0" wp14:anchorId="4BDDF2AC" wp14:editId="1CB38E39">
            <wp:extent cx="5464895" cy="3409950"/>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2625" cy="3452212"/>
                    </a:xfrm>
                    <a:prstGeom prst="rect">
                      <a:avLst/>
                    </a:prstGeom>
                    <a:noFill/>
                  </pic:spPr>
                </pic:pic>
              </a:graphicData>
            </a:graphic>
          </wp:inline>
        </w:drawing>
      </w:r>
    </w:p>
    <w:p w14:paraId="4BBF184D" w14:textId="7C9CE21A" w:rsidR="007957EA" w:rsidRPr="00F67047" w:rsidRDefault="00F67047" w:rsidP="00AF420A">
      <w:pPr>
        <w:pStyle w:val="SeoI-REP"/>
        <w:spacing w:beforeLines="60" w:before="144" w:afterLines="60" w:after="144"/>
        <w:jc w:val="both"/>
      </w:pPr>
      <w:r w:rsidRPr="00F67047">
        <w:t xml:space="preserve">Debt </w:t>
      </w:r>
      <w:r w:rsidR="00E36CEF" w:rsidRPr="00F67047">
        <w:t>Sustainability</w:t>
      </w:r>
    </w:p>
    <w:p w14:paraId="7D140C86" w14:textId="3E803DB2" w:rsidR="00DB7180" w:rsidRPr="00FB2464" w:rsidRDefault="0090095A" w:rsidP="005E5845">
      <w:pPr>
        <w:pStyle w:val="texto-REP"/>
      </w:pPr>
      <w:r w:rsidRPr="00FB2464">
        <w:t>Th</w:t>
      </w:r>
      <w:r w:rsidR="00F67047" w:rsidRPr="00FB2464">
        <w:t xml:space="preserve">is </w:t>
      </w:r>
      <w:r w:rsidR="00A2538B">
        <w:t>s</w:t>
      </w:r>
      <w:r w:rsidR="00F67047" w:rsidRPr="00FB2464">
        <w:t xml:space="preserve">ection </w:t>
      </w:r>
      <w:r w:rsidR="00542A97" w:rsidRPr="00FB2464">
        <w:t xml:space="preserve">draws on </w:t>
      </w:r>
      <w:r w:rsidR="00F67047" w:rsidRPr="00FB2464">
        <w:t>Campos and Cysne (2018)</w:t>
      </w:r>
      <w:r w:rsidR="00542A97" w:rsidRPr="00FB2464">
        <w:t xml:space="preserve"> to derive a condition on debt sustainability in the present framework. </w:t>
      </w:r>
      <w:r w:rsidR="008D5531" w:rsidRPr="00FB2464">
        <w:t>I</w:t>
      </w:r>
      <w:r w:rsidR="00BB7D16">
        <w:t>t requires that</w:t>
      </w:r>
      <w:r w:rsidR="00542A97" w:rsidRPr="00FB2464">
        <w:t xml:space="preserve"> the fiscal-reaction coefficient </w:t>
      </w:r>
      <w:r w:rsidR="00104A56">
        <w:t xml:space="preserve">to </w:t>
      </w:r>
      <w:r w:rsidR="00542A97" w:rsidRPr="00FB2464">
        <w:t xml:space="preserve">be </w:t>
      </w:r>
      <w:r w:rsidR="00DB7180" w:rsidRPr="00FB2464">
        <w:t xml:space="preserve">big </w:t>
      </w:r>
      <w:r w:rsidR="00542A97" w:rsidRPr="00FB2464">
        <w:t xml:space="preserve">enough to compensate for </w:t>
      </w:r>
      <w:r w:rsidR="00DB7180" w:rsidRPr="00FB2464">
        <w:t xml:space="preserve">the </w:t>
      </w:r>
      <w:r w:rsidR="00542A97" w:rsidRPr="00FB2464">
        <w:t xml:space="preserve">positive </w:t>
      </w:r>
      <w:r w:rsidR="00DB7180" w:rsidRPr="00FB2464">
        <w:t xml:space="preserve">difference between </w:t>
      </w:r>
      <w:r w:rsidR="00542A97" w:rsidRPr="00FB2464">
        <w:t>real</w:t>
      </w:r>
      <w:r w:rsidR="008D5531" w:rsidRPr="00FB2464">
        <w:t>-</w:t>
      </w:r>
      <w:r w:rsidR="00542A97" w:rsidRPr="00FB2464">
        <w:t>interest and GDP growth</w:t>
      </w:r>
      <w:r w:rsidR="00DB7180" w:rsidRPr="00FB2464">
        <w:t xml:space="preserve"> rates</w:t>
      </w:r>
      <w:r w:rsidR="00542A97" w:rsidRPr="00FB2464">
        <w:t xml:space="preserve">. </w:t>
      </w:r>
    </w:p>
    <w:p w14:paraId="0531669F" w14:textId="77777777" w:rsidR="0096030A" w:rsidRDefault="00F67047" w:rsidP="005E5845">
      <w:pPr>
        <w:pStyle w:val="texto-REP"/>
      </w:pPr>
      <w:r w:rsidRPr="00FB2464">
        <w:t>The</w:t>
      </w:r>
      <w:r w:rsidR="0090095A" w:rsidRPr="00FB2464">
        <w:t xml:space="preserve"> government budget constraint, in nominal terms, is represented as follows</w:t>
      </w:r>
      <w:r w:rsidR="003B7F34" w:rsidRPr="00FB2464">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6"/>
      </w:tblGrid>
      <w:tr w:rsidR="00CE119C" w:rsidRPr="00CE119C" w14:paraId="79E1C40E" w14:textId="77777777" w:rsidTr="008F0DA6">
        <w:trPr>
          <w:trHeight w:val="414"/>
        </w:trPr>
        <w:tc>
          <w:tcPr>
            <w:tcW w:w="8359" w:type="dxa"/>
            <w:vAlign w:val="center"/>
          </w:tcPr>
          <w:p w14:paraId="08F21D0B" w14:textId="77777777" w:rsidR="00CE119C" w:rsidRPr="00CE119C" w:rsidRDefault="00094C8D" w:rsidP="005E5845">
            <w:pPr>
              <w:pStyle w:val="texto-REP"/>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t</m:t>
                        </m:r>
                      </m:sub>
                    </m:sSub>
                  </m:e>
                </m:d>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oMath>
            </m:oMathPara>
          </w:p>
        </w:tc>
        <w:tc>
          <w:tcPr>
            <w:tcW w:w="706" w:type="dxa"/>
            <w:vAlign w:val="center"/>
          </w:tcPr>
          <w:p w14:paraId="4B50E804" w14:textId="3B934DE4" w:rsidR="00CE119C" w:rsidRPr="00CE119C" w:rsidRDefault="0080299F" w:rsidP="005E5845">
            <w:pPr>
              <w:pStyle w:val="texto-REP"/>
            </w:pPr>
            <w:r>
              <w:t>(</w:t>
            </w:r>
            <w:r w:rsidR="00CE119C" w:rsidRPr="00CE119C">
              <w:t>1)</w:t>
            </w:r>
          </w:p>
        </w:tc>
      </w:tr>
    </w:tbl>
    <w:p w14:paraId="497A5F0B" w14:textId="11A2A52A" w:rsidR="00C208E4" w:rsidRPr="00FB2464" w:rsidRDefault="0090095A" w:rsidP="005E5845">
      <w:pPr>
        <w:pStyle w:val="texto-REP"/>
      </w:pPr>
      <w:r w:rsidRPr="00FB2464">
        <w:t xml:space="preserve">where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F58DB" w:rsidRPr="00FB2464">
        <w:t xml:space="preserve"> </w:t>
      </w:r>
      <w:r w:rsidR="008D5531" w:rsidRPr="00FB2464">
        <w:t xml:space="preserve">stands for </w:t>
      </w:r>
      <w:r w:rsidRPr="00FB2464">
        <w:t>net debt</w:t>
      </w:r>
      <w:r w:rsidR="008B2C06" w:rsidRPr="00FB2464">
        <w:rPr>
          <w:rStyle w:val="Refdenotaderodap"/>
          <w:rFonts w:cs="Times New Roman"/>
        </w:rPr>
        <w:footnoteReference w:id="4"/>
      </w:r>
      <w:r w:rsidR="003B7F34" w:rsidRPr="00FB2464">
        <w:t xml:space="preserve">,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0449D5" w:rsidRPr="00FB2464">
        <w:t xml:space="preserve"> </w:t>
      </w:r>
      <w:r w:rsidR="008D5531" w:rsidRPr="00FB2464">
        <w:t xml:space="preserve">for </w:t>
      </w:r>
      <w:r w:rsidRPr="00FB2464">
        <w:t>government's primary expenditures (consumption, investment and transfers, not including interest payments)</w:t>
      </w:r>
      <w:r w:rsidR="003B7F34" w:rsidRPr="00FB2464">
        <w:t>,</w:t>
      </w:r>
      <w:r w:rsidR="00CE119C">
        <w:t xml:space="preserv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00801393" w:rsidRPr="00FB2464">
        <w:rPr>
          <w:vertAlign w:val="subscript"/>
        </w:rPr>
        <w:t xml:space="preserve"> </w:t>
      </w:r>
      <w:r w:rsidRPr="00FB2464">
        <w:t xml:space="preserve">are the primary revenues (tax plus other net current revenues) - all computed at the end </w:t>
      </w:r>
      <w:r w:rsidR="001D6B39" w:rsidRPr="00FB2464">
        <w:t>of</w:t>
      </w:r>
      <w:r w:rsidR="00CE119C">
        <w:t xml:space="preserve"> time </w:t>
      </w:r>
      <m:oMath>
        <m:r>
          <w:rPr>
            <w:rFonts w:ascii="Cambria Math" w:hAnsi="Cambria Math"/>
          </w:rPr>
          <m:t>t</m:t>
        </m:r>
      </m:oMath>
      <w:r w:rsidR="00CE119C">
        <w:t xml:space="preserve"> - and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Pr="00FB2464">
        <w:t xml:space="preserve"> is the nominal i</w:t>
      </w:r>
      <w:r w:rsidR="00CE119C">
        <w:t xml:space="preserve">nterest rate, associated with a </w:t>
      </w:r>
      <w:r w:rsidR="008D5531" w:rsidRPr="00FB2464">
        <w:t xml:space="preserve">public </w:t>
      </w:r>
      <w:r w:rsidRPr="00FB2464">
        <w:t xml:space="preserve">security purchased at time </w:t>
      </w:r>
      <m:oMath>
        <m:r>
          <w:rPr>
            <w:rFonts w:ascii="Cambria Math" w:hAnsi="Cambria Math"/>
          </w:rPr>
          <m:t>t-1</m:t>
        </m:r>
      </m:oMath>
      <w:r w:rsidRPr="00FB2464">
        <w:t xml:space="preserve"> and remunerated at </w:t>
      </w:r>
      <m:oMath>
        <m:r>
          <w:rPr>
            <w:rFonts w:ascii="Cambria Math" w:hAnsi="Cambria Math"/>
          </w:rPr>
          <m:t>t</m:t>
        </m:r>
      </m:oMath>
      <w:r w:rsidR="00D728E2" w:rsidRPr="00FB2464">
        <w:t>.</w:t>
      </w:r>
    </w:p>
    <w:p w14:paraId="769D03A8" w14:textId="68B50D08" w:rsidR="00CE119C" w:rsidRDefault="00801393" w:rsidP="005E5845">
      <w:pPr>
        <w:pStyle w:val="texto-REP"/>
        <w:rPr>
          <w:rFonts w:eastAsia="Times New Roman"/>
        </w:rPr>
      </w:pPr>
      <w:r w:rsidRPr="00FB2464">
        <w:rPr>
          <w:rFonts w:eastAsia="Times New Roman"/>
        </w:rPr>
        <w:lastRenderedPageBreak/>
        <w:t>A public</w:t>
      </w:r>
      <w:r w:rsidR="00E36CEF" w:rsidRPr="00FB2464">
        <w:rPr>
          <w:rFonts w:eastAsia="Times New Roman"/>
        </w:rPr>
        <w:t xml:space="preserve"> </w:t>
      </w:r>
      <w:r w:rsidRPr="00FB2464">
        <w:rPr>
          <w:rFonts w:eastAsia="Times New Roman"/>
        </w:rPr>
        <w:t>debt series</w:t>
      </w:r>
      <w:r w:rsidR="0090095A" w:rsidRPr="00FB2464">
        <w:rPr>
          <w:rFonts w:eastAsia="Times New Roman"/>
        </w:rPr>
        <w:t xml:space="preserve"> </w:t>
      </w:r>
      <w:r w:rsidR="008621C0" w:rsidRPr="00FB2464">
        <w:rPr>
          <w:rFonts w:eastAsia="Times New Roman"/>
        </w:rPr>
        <w:t>o</w:t>
      </w:r>
      <w:r w:rsidR="0090095A" w:rsidRPr="00FB2464">
        <w:rPr>
          <w:rFonts w:eastAsia="Times New Roman"/>
        </w:rPr>
        <w:t>r</w:t>
      </w:r>
      <w:r w:rsidR="008621C0" w:rsidRPr="00FB2464">
        <w:rPr>
          <w:rFonts w:eastAsia="Times New Roman"/>
        </w:rPr>
        <w:t xml:space="preserve">, </w:t>
      </w:r>
      <w:r w:rsidR="0090095A" w:rsidRPr="00FB2464">
        <w:rPr>
          <w:rFonts w:eastAsia="Times New Roman"/>
        </w:rPr>
        <w:t>accordingly</w:t>
      </w:r>
      <w:r w:rsidR="008621C0" w:rsidRPr="00FB2464">
        <w:rPr>
          <w:rFonts w:eastAsia="Times New Roman"/>
        </w:rPr>
        <w:t xml:space="preserve">, </w:t>
      </w:r>
      <w:r w:rsidR="0090095A" w:rsidRPr="00FB2464">
        <w:rPr>
          <w:rFonts w:eastAsia="Times New Roman"/>
        </w:rPr>
        <w:t>the fiscal policy associated with it</w:t>
      </w:r>
      <w:r w:rsidR="008009B5" w:rsidRPr="00FB2464">
        <w:rPr>
          <w:rFonts w:eastAsia="Times New Roman"/>
        </w:rPr>
        <w:t>,</w:t>
      </w:r>
      <w:r w:rsidR="0090095A" w:rsidRPr="00FB2464">
        <w:rPr>
          <w:rFonts w:eastAsia="Times New Roman"/>
        </w:rPr>
        <w:t xml:space="preserve"> is characterized as sustainable if the present value of future </w:t>
      </w:r>
      <w:r w:rsidR="000A36F0" w:rsidRPr="00FB2464">
        <w:rPr>
          <w:rFonts w:eastAsia="Times New Roman"/>
        </w:rPr>
        <w:t>surplus</w:t>
      </w:r>
      <w:r w:rsidR="0090095A" w:rsidRPr="00FB2464">
        <w:rPr>
          <w:rFonts w:eastAsia="Times New Roman"/>
        </w:rPr>
        <w:t>es is sufficient to offset the present debt value. To formalize this condition, the budget constraint in (1) mu</w:t>
      </w:r>
      <w:r w:rsidR="000F0FB2" w:rsidRPr="00FB2464">
        <w:rPr>
          <w:rFonts w:eastAsia="Times New Roman"/>
        </w:rPr>
        <w:t>st be s</w:t>
      </w:r>
      <w:r w:rsidR="0090095A" w:rsidRPr="00FB2464">
        <w:rPr>
          <w:rFonts w:eastAsia="Times New Roman"/>
        </w:rPr>
        <w:t>olved iteratively for</w:t>
      </w:r>
      <w:r w:rsidR="008621C0" w:rsidRPr="00FB2464">
        <w:rPr>
          <w:rFonts w:eastAsia="Times New Roman"/>
        </w:rPr>
        <w:t xml:space="preserve"> </w:t>
      </w:r>
      <m:oMath>
        <m:r>
          <w:rPr>
            <w:rFonts w:ascii="Cambria Math" w:eastAsia="Times New Roman" w:hAnsi="Cambria Math"/>
          </w:rPr>
          <m:t>t</m:t>
        </m:r>
        <m:r>
          <m:rPr>
            <m:sty m:val="p"/>
          </m:rPr>
          <w:rPr>
            <w:rFonts w:ascii="Cambria Math" w:eastAsia="Times New Roman" w:hAnsi="Cambria Math"/>
          </w:rPr>
          <m:t xml:space="preserve">=1, 2, ..., T </m:t>
        </m:r>
      </m:oMath>
      <w:r w:rsidR="00D728E2" w:rsidRPr="00FB2464">
        <w:rPr>
          <w:rFonts w:eastAsia="Times New Roman"/>
        </w:rPr>
        <w:t>(</w:t>
      </w:r>
      <w:r w:rsidR="0090095A" w:rsidRPr="00FB2464">
        <w:rPr>
          <w:rFonts w:eastAsia="Times New Roman"/>
        </w:rPr>
        <w:t xml:space="preserve">it is </w:t>
      </w:r>
      <w:r w:rsidR="00D728E2" w:rsidRPr="00FB2464">
        <w:rPr>
          <w:rFonts w:eastAsia="Times New Roman"/>
        </w:rPr>
        <w:t>consider</w:t>
      </w:r>
      <w:r w:rsidR="0090095A" w:rsidRPr="00FB2464">
        <w:rPr>
          <w:rFonts w:eastAsia="Times New Roman"/>
        </w:rPr>
        <w:t>ed</w:t>
      </w:r>
      <w:r w:rsidR="00653EA2" w:rsidRPr="00FB2464">
        <w:rPr>
          <w:rFonts w:eastAsia="Times New Roman"/>
        </w:rPr>
        <w:t>, for simplicity,</w:t>
      </w:r>
      <w:r w:rsidR="0090095A" w:rsidRPr="00FB2464">
        <w:rPr>
          <w:rFonts w:eastAsia="Times New Roman"/>
        </w:rPr>
        <w:t xml:space="preserve"> that </w:t>
      </w:r>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t</m:t>
            </m:r>
          </m:sub>
        </m:sSub>
        <m:r>
          <w:rPr>
            <w:rFonts w:ascii="Cambria Math" w:eastAsia="Times New Roman" w:hAnsi="Cambria Math"/>
          </w:rPr>
          <m:t>=i ∀ t</m:t>
        </m:r>
      </m:oMath>
      <w:r w:rsidR="00CF0CDF">
        <w:rPr>
          <w:rFonts w:eastAsia="Times New Roman"/>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5"/>
      </w:tblGrid>
      <w:tr w:rsidR="00EE1446" w:rsidRPr="00EE1446" w14:paraId="5421CBE2" w14:textId="77777777" w:rsidTr="00EE1446">
        <w:trPr>
          <w:trHeight w:val="853"/>
        </w:trPr>
        <w:tc>
          <w:tcPr>
            <w:tcW w:w="9065" w:type="dxa"/>
            <w:vAlign w:val="center"/>
          </w:tcPr>
          <w:p w14:paraId="6AE451C4" w14:textId="77777777" w:rsidR="00EE1446" w:rsidRDefault="00094C8D" w:rsidP="005E5845">
            <w:pPr>
              <w:pStyle w:val="texto-REP"/>
              <w:rPr>
                <w:rFonts w:eastAsia="Times New Roman"/>
              </w:rPr>
            </w:pPr>
            <m:oMathPara>
              <m:oMath>
                <m:sSub>
                  <m:sSubPr>
                    <m:ctrlPr>
                      <w:rPr>
                        <w:rFonts w:ascii="Cambria Math" w:eastAsia="Times New Roman" w:hAnsi="Cambria Math"/>
                      </w:rPr>
                    </m:ctrlPr>
                  </m:sSubPr>
                  <m:e>
                    <m:r>
                      <w:rPr>
                        <w:rFonts w:ascii="Cambria Math" w:eastAsia="Times New Roman" w:hAnsi="Cambria Math"/>
                      </w:rPr>
                      <m:t>B</m:t>
                    </m:r>
                  </m:e>
                  <m:sub>
                    <m:r>
                      <w:rPr>
                        <w:rFonts w:ascii="Cambria Math" w:eastAsia="Times New Roman" w:hAnsi="Cambria Math"/>
                      </w:rPr>
                      <m:t>t</m:t>
                    </m:r>
                  </m:sub>
                </m:sSub>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r>
                          <w:rPr>
                            <w:rFonts w:ascii="Cambria Math" w:eastAsia="Times New Roman" w:hAnsi="Cambria Math"/>
                          </w:rPr>
                          <m:t>i</m:t>
                        </m:r>
                      </m:e>
                    </m:d>
                  </m:e>
                  <m:sup>
                    <m:r>
                      <w:rPr>
                        <w:rFonts w:ascii="Cambria Math" w:eastAsia="Times New Roman" w:hAnsi="Cambria Math"/>
                      </w:rPr>
                      <m:t>t</m:t>
                    </m:r>
                  </m:sup>
                </m:sSup>
                <m:sSub>
                  <m:sSubPr>
                    <m:ctrlPr>
                      <w:rPr>
                        <w:rFonts w:ascii="Cambria Math" w:eastAsia="Times New Roman" w:hAnsi="Cambria Math"/>
                      </w:rPr>
                    </m:ctrlPr>
                  </m:sSubPr>
                  <m:e>
                    <m:r>
                      <w:rPr>
                        <w:rFonts w:ascii="Cambria Math" w:eastAsia="Times New Roman" w:hAnsi="Cambria Math"/>
                      </w:rPr>
                      <m:t>B</m:t>
                    </m:r>
                  </m:e>
                  <m:sub>
                    <m:r>
                      <m:rPr>
                        <m:sty m:val="p"/>
                      </m:rPr>
                      <w:rPr>
                        <w:rFonts w:ascii="Cambria Math" w:eastAsia="Times New Roman" w:hAnsi="Cambria Math"/>
                      </w:rPr>
                      <m:t>0</m:t>
                    </m:r>
                  </m:sub>
                </m:sSub>
                <m:r>
                  <m:rPr>
                    <m:sty m:val="p"/>
                  </m:rPr>
                  <w:rPr>
                    <w:rFonts w:ascii="Cambria Math" w:eastAsia="Times New Roman" w:hAnsi="Cambria Math"/>
                  </w:rPr>
                  <m:t>+</m:t>
                </m:r>
                <m:nary>
                  <m:naryPr>
                    <m:chr m:val="∑"/>
                    <m:limLoc m:val="undOvr"/>
                    <m:ctrlPr>
                      <w:rPr>
                        <w:rFonts w:ascii="Cambria Math" w:eastAsia="Times New Roman" w:hAnsi="Cambria Math"/>
                      </w:rPr>
                    </m:ctrlPr>
                  </m:naryPr>
                  <m:sub>
                    <m:r>
                      <w:rPr>
                        <w:rFonts w:ascii="Cambria Math" w:eastAsia="Times New Roman" w:hAnsi="Cambria Math"/>
                      </w:rPr>
                      <m:t>k</m:t>
                    </m:r>
                    <m:r>
                      <m:rPr>
                        <m:sty m:val="p"/>
                      </m:rPr>
                      <w:rPr>
                        <w:rFonts w:ascii="Cambria Math" w:eastAsia="Times New Roman" w:hAnsi="Cambria Math"/>
                      </w:rPr>
                      <m:t>=1</m:t>
                    </m:r>
                  </m:sub>
                  <m:sup>
                    <m:r>
                      <w:rPr>
                        <w:rFonts w:ascii="Cambria Math" w:eastAsia="Times New Roman" w:hAnsi="Cambria Math"/>
                      </w:rPr>
                      <m:t>t</m:t>
                    </m:r>
                  </m:sup>
                  <m:e>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r>
                              <w:rPr>
                                <w:rFonts w:ascii="Cambria Math" w:eastAsia="Times New Roman" w:hAnsi="Cambria Math"/>
                              </w:rPr>
                              <m:t>i</m:t>
                            </m:r>
                          </m:e>
                        </m:d>
                      </m:e>
                      <m:sup>
                        <m:r>
                          <w:rPr>
                            <w:rFonts w:ascii="Cambria Math" w:eastAsia="Times New Roman" w:hAnsi="Cambria Math"/>
                          </w:rPr>
                          <m:t>t</m:t>
                        </m:r>
                        <m:r>
                          <m:rPr>
                            <m:sty m:val="p"/>
                          </m:rPr>
                          <w:rPr>
                            <w:rFonts w:ascii="Cambria Math" w:eastAsia="Times New Roman" w:hAnsi="Cambria Math"/>
                          </w:rPr>
                          <m:t>-</m:t>
                        </m:r>
                        <m:r>
                          <w:rPr>
                            <w:rFonts w:ascii="Cambria Math" w:eastAsia="Times New Roman" w:hAnsi="Cambria Math"/>
                          </w:rPr>
                          <m:t>k</m:t>
                        </m:r>
                      </m:sup>
                    </m:sSup>
                  </m:e>
                </m:nary>
                <m:r>
                  <m:rPr>
                    <m:sty m:val="p"/>
                  </m:rPr>
                  <w:rPr>
                    <w:rFonts w:ascii="Cambria Math" w:eastAsia="Times New Roman" w:hAnsi="Cambria Math"/>
                  </w:rPr>
                  <m:t>(</m:t>
                </m:r>
                <m:sSub>
                  <m:sSubPr>
                    <m:ctrlPr>
                      <w:rPr>
                        <w:rFonts w:ascii="Cambria Math" w:eastAsia="Times New Roman" w:hAnsi="Cambria Math"/>
                      </w:rPr>
                    </m:ctrlPr>
                  </m:sSubPr>
                  <m:e>
                    <m:r>
                      <w:rPr>
                        <w:rFonts w:ascii="Cambria Math" w:eastAsia="Times New Roman" w:hAnsi="Cambria Math"/>
                      </w:rPr>
                      <m:t>G</m:t>
                    </m:r>
                  </m:e>
                  <m:sub>
                    <m:r>
                      <w:rPr>
                        <w:rFonts w:ascii="Cambria Math" w:eastAsia="Times New Roman" w:hAnsi="Cambria Math"/>
                      </w:rPr>
                      <m:t>k</m:t>
                    </m:r>
                  </m:sub>
                </m:sSub>
                <m:r>
                  <m:rPr>
                    <m:sty m:val="p"/>
                  </m:rPr>
                  <w:rPr>
                    <w:rFonts w:ascii="Cambria Math" w:eastAsia="Times New Roman" w:hAnsi="Cambria Math"/>
                  </w:rPr>
                  <m:t>-</m:t>
                </m:r>
                <m:sSub>
                  <m:sSubPr>
                    <m:ctrlPr>
                      <w:rPr>
                        <w:rFonts w:ascii="Cambria Math" w:eastAsia="Times New Roman" w:hAnsi="Cambria Math"/>
                      </w:rPr>
                    </m:ctrlPr>
                  </m:sSubPr>
                  <m:e>
                    <m:r>
                      <w:rPr>
                        <w:rFonts w:ascii="Cambria Math" w:eastAsia="Times New Roman" w:hAnsi="Cambria Math"/>
                      </w:rPr>
                      <m:t>T</m:t>
                    </m:r>
                  </m:e>
                  <m:sub>
                    <m:r>
                      <w:rPr>
                        <w:rFonts w:ascii="Cambria Math" w:eastAsia="Times New Roman" w:hAnsi="Cambria Math"/>
                      </w:rPr>
                      <m:t>k</m:t>
                    </m:r>
                  </m:sub>
                </m:sSub>
                <m:r>
                  <m:rPr>
                    <m:sty m:val="p"/>
                  </m:rPr>
                  <w:rPr>
                    <w:rFonts w:ascii="Cambria Math" w:eastAsia="Times New Roman" w:hAnsi="Cambria Math"/>
                  </w:rPr>
                  <m:t>)</m:t>
                </m:r>
              </m:oMath>
            </m:oMathPara>
          </w:p>
        </w:tc>
      </w:tr>
    </w:tbl>
    <w:p w14:paraId="7B84FB5F" w14:textId="77777777" w:rsidR="00EE1446" w:rsidRDefault="00EE1446" w:rsidP="005E5845">
      <w:pPr>
        <w:pStyle w:val="texto-REP"/>
        <w:rPr>
          <w:rFonts w:eastAsia="Times New Roman"/>
        </w:rPr>
      </w:pPr>
      <w:r>
        <w:rPr>
          <w:rFonts w:eastAsia="Times New Roman"/>
        </w:rPr>
        <w:t>or even: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5"/>
      </w:tblGrid>
      <w:tr w:rsidR="00EE1446" w:rsidRPr="00EE1446" w14:paraId="6B684BEA" w14:textId="77777777" w:rsidTr="00EE1446">
        <w:tc>
          <w:tcPr>
            <w:tcW w:w="9065" w:type="dxa"/>
          </w:tcPr>
          <w:p w14:paraId="37AC633F" w14:textId="77777777" w:rsidR="00EE1446" w:rsidRDefault="00094C8D" w:rsidP="005E5845">
            <w:pPr>
              <w:pStyle w:val="texto-REP"/>
              <w:rPr>
                <w:rFonts w:eastAsia="Times New Roman"/>
              </w:rPr>
            </w:pPr>
            <m:oMathPara>
              <m:oMath>
                <m:sSub>
                  <m:sSubPr>
                    <m:ctrlPr>
                      <w:rPr>
                        <w:rFonts w:ascii="Cambria Math" w:eastAsia="Times New Roman" w:hAnsi="Cambria Math"/>
                      </w:rPr>
                    </m:ctrlPr>
                  </m:sSubPr>
                  <m:e>
                    <m:r>
                      <w:rPr>
                        <w:rFonts w:ascii="Cambria Math" w:eastAsia="Times New Roman" w:hAnsi="Cambria Math"/>
                      </w:rPr>
                      <m:t>B</m:t>
                    </m:r>
                  </m:e>
                  <m:sub>
                    <m:r>
                      <m:rPr>
                        <m:sty m:val="p"/>
                      </m:rPr>
                      <w:rPr>
                        <w:rFonts w:ascii="Cambria Math" w:eastAsia="Times New Roman" w:hAnsi="Cambria Math"/>
                      </w:rPr>
                      <m:t>0</m:t>
                    </m:r>
                  </m:sub>
                </m:sSub>
                <m:r>
                  <m:rPr>
                    <m:sty m:val="p"/>
                  </m:rPr>
                  <w:rPr>
                    <w:rFonts w:ascii="Cambria Math" w:eastAsia="Times New Roman" w:hAnsi="Cambria Math"/>
                  </w:rPr>
                  <m:t>=</m:t>
                </m:r>
                <m:f>
                  <m:fPr>
                    <m:ctrlPr>
                      <w:rPr>
                        <w:rFonts w:ascii="Cambria Math" w:eastAsia="Times New Roman" w:hAnsi="Cambria Math"/>
                      </w:rPr>
                    </m:ctrlPr>
                  </m:fPr>
                  <m:num>
                    <m:sSub>
                      <m:sSubPr>
                        <m:ctrlPr>
                          <w:rPr>
                            <w:rFonts w:ascii="Cambria Math" w:eastAsia="Times New Roman" w:hAnsi="Cambria Math"/>
                          </w:rPr>
                        </m:ctrlPr>
                      </m:sSubPr>
                      <m:e>
                        <m:r>
                          <w:rPr>
                            <w:rFonts w:ascii="Cambria Math" w:eastAsia="Times New Roman" w:hAnsi="Cambria Math"/>
                          </w:rPr>
                          <m:t>B</m:t>
                        </m:r>
                      </m:e>
                      <m:sub>
                        <m:r>
                          <w:rPr>
                            <w:rFonts w:ascii="Cambria Math" w:eastAsia="Times New Roman" w:hAnsi="Cambria Math"/>
                          </w:rPr>
                          <m:t>t</m:t>
                        </m:r>
                      </m:sub>
                    </m:sSub>
                  </m:num>
                  <m:den>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r>
                              <w:rPr>
                                <w:rFonts w:ascii="Cambria Math" w:eastAsia="Times New Roman" w:hAnsi="Cambria Math"/>
                              </w:rPr>
                              <m:t>i</m:t>
                            </m:r>
                          </m:e>
                        </m:d>
                      </m:e>
                      <m:sup>
                        <m:r>
                          <w:rPr>
                            <w:rFonts w:ascii="Cambria Math" w:eastAsia="Times New Roman" w:hAnsi="Cambria Math"/>
                          </w:rPr>
                          <m:t>t</m:t>
                        </m:r>
                      </m:sup>
                    </m:sSup>
                  </m:den>
                </m:f>
                <m:r>
                  <m:rPr>
                    <m:sty m:val="p"/>
                  </m:rPr>
                  <w:rPr>
                    <w:rFonts w:ascii="Cambria Math" w:eastAsia="Times New Roman" w:hAnsi="Cambria Math"/>
                  </w:rPr>
                  <m:t>+</m:t>
                </m:r>
                <m:nary>
                  <m:naryPr>
                    <m:chr m:val="∑"/>
                    <m:limLoc m:val="undOvr"/>
                    <m:ctrlPr>
                      <w:rPr>
                        <w:rFonts w:ascii="Cambria Math" w:eastAsia="Times New Roman" w:hAnsi="Cambria Math"/>
                      </w:rPr>
                    </m:ctrlPr>
                  </m:naryPr>
                  <m:sub>
                    <m:r>
                      <w:rPr>
                        <w:rFonts w:ascii="Cambria Math" w:eastAsia="Times New Roman" w:hAnsi="Cambria Math"/>
                      </w:rPr>
                      <m:t>k</m:t>
                    </m:r>
                    <m:r>
                      <m:rPr>
                        <m:sty m:val="p"/>
                      </m:rPr>
                      <w:rPr>
                        <w:rFonts w:ascii="Cambria Math" w:eastAsia="Times New Roman" w:hAnsi="Cambria Math"/>
                      </w:rPr>
                      <m:t>=1</m:t>
                    </m:r>
                  </m:sub>
                  <m:sup>
                    <m:r>
                      <w:rPr>
                        <w:rFonts w:ascii="Cambria Math" w:eastAsia="Times New Roman" w:hAnsi="Cambria Math"/>
                      </w:rPr>
                      <m:t>t</m:t>
                    </m:r>
                  </m:sup>
                  <m:e>
                    <m:f>
                      <m:fPr>
                        <m:ctrlPr>
                          <w:rPr>
                            <w:rFonts w:ascii="Cambria Math" w:eastAsia="Times New Roman" w:hAnsi="Cambria Math"/>
                          </w:rPr>
                        </m:ctrlPr>
                      </m:fPr>
                      <m:num>
                        <m:sSub>
                          <m:sSubPr>
                            <m:ctrlPr>
                              <w:rPr>
                                <w:rFonts w:ascii="Cambria Math" w:eastAsia="Times New Roman" w:hAnsi="Cambria Math"/>
                              </w:rPr>
                            </m:ctrlPr>
                          </m:sSubPr>
                          <m:e>
                            <m:r>
                              <w:rPr>
                                <w:rFonts w:ascii="Cambria Math" w:eastAsia="Times New Roman" w:hAnsi="Cambria Math"/>
                              </w:rPr>
                              <m:t>S</m:t>
                            </m:r>
                          </m:e>
                          <m:sub>
                            <m:r>
                              <w:rPr>
                                <w:rFonts w:ascii="Cambria Math" w:eastAsia="Times New Roman" w:hAnsi="Cambria Math"/>
                              </w:rPr>
                              <m:t>k</m:t>
                            </m:r>
                          </m:sub>
                        </m:sSub>
                      </m:num>
                      <m:den>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r>
                                  <w:rPr>
                                    <w:rFonts w:ascii="Cambria Math" w:eastAsia="Times New Roman" w:hAnsi="Cambria Math"/>
                                  </w:rPr>
                                  <m:t>i</m:t>
                                </m:r>
                              </m:e>
                            </m:d>
                          </m:e>
                          <m:sup>
                            <m:r>
                              <w:rPr>
                                <w:rFonts w:ascii="Cambria Math" w:eastAsia="Times New Roman" w:hAnsi="Cambria Math"/>
                              </w:rPr>
                              <m:t>k</m:t>
                            </m:r>
                          </m:sup>
                        </m:sSup>
                      </m:den>
                    </m:f>
                  </m:e>
                </m:nary>
              </m:oMath>
            </m:oMathPara>
          </w:p>
        </w:tc>
      </w:tr>
    </w:tbl>
    <w:p w14:paraId="29230B84" w14:textId="2D9B2ABB" w:rsidR="001877F4" w:rsidRPr="00FB2464" w:rsidRDefault="00801393" w:rsidP="005E5845">
      <w:pPr>
        <w:pStyle w:val="texto-REP"/>
      </w:pPr>
      <w:r w:rsidRPr="00FB2464">
        <w:t>W</w:t>
      </w:r>
      <w:r w:rsidR="0090095A" w:rsidRPr="00FB2464">
        <w:t>here</w:t>
      </w:r>
      <w:r w:rsidR="004E7387">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k</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G</m:t>
            </m:r>
          </m:e>
          <m:sub>
            <m:r>
              <w:rPr>
                <w:rFonts w:ascii="Cambria Math" w:hAnsi="Cambria Math"/>
                <w:vertAlign w:val="subscript"/>
              </w:rPr>
              <m:t>k</m:t>
            </m:r>
          </m:sub>
        </m:sSub>
      </m:oMath>
      <w:r w:rsidRPr="00FB2464">
        <w:rPr>
          <w:vertAlign w:val="subscript"/>
        </w:rPr>
        <w:t xml:space="preserve"> </w:t>
      </w:r>
      <w:r w:rsidR="00F7149A" w:rsidRPr="00FB2464">
        <w:t>is the primary</w:t>
      </w:r>
      <w:r w:rsidRPr="00FB2464">
        <w:t xml:space="preserve"> </w:t>
      </w:r>
      <w:r w:rsidR="00D50C0B" w:rsidRPr="00FB2464">
        <w:t>surplus</w:t>
      </w:r>
      <w:r w:rsidRPr="00FB2464">
        <w:t xml:space="preserve"> </w:t>
      </w:r>
      <w:r w:rsidR="00F7149A" w:rsidRPr="00FB2464">
        <w:t>at</w:t>
      </w:r>
      <w:r w:rsidRPr="00FB2464">
        <w:t xml:space="preserve"> </w:t>
      </w:r>
      <m:oMath>
        <m:r>
          <w:rPr>
            <w:rFonts w:ascii="Cambria Math" w:hAnsi="Cambria Math"/>
          </w:rPr>
          <m:t>t=k</m:t>
        </m:r>
      </m:oMath>
      <w:r w:rsidR="00F666D1" w:rsidRPr="00FB2464">
        <w:t xml:space="preserve">. </w:t>
      </w:r>
    </w:p>
    <w:p w14:paraId="2C525728" w14:textId="77777777" w:rsidR="001877F4" w:rsidRDefault="002A4442" w:rsidP="005E5845">
      <w:pPr>
        <w:pStyle w:val="texto-REP"/>
      </w:pPr>
      <w:r w:rsidRPr="00FB2464">
        <w:t xml:space="preserve">The condition </w:t>
      </w:r>
      <w:r w:rsidR="008009B5" w:rsidRPr="00FB2464">
        <w:t xml:space="preserve">for debt </w:t>
      </w:r>
      <w:r w:rsidRPr="00FB2464">
        <w:t>sustainability is</w:t>
      </w:r>
      <w:r w:rsidR="00C208E4" w:rsidRPr="00FB2464">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6"/>
      </w:tblGrid>
      <w:tr w:rsidR="00EE1446" w14:paraId="613DC26D" w14:textId="77777777" w:rsidTr="003A6129">
        <w:trPr>
          <w:trHeight w:val="661"/>
        </w:trPr>
        <w:tc>
          <w:tcPr>
            <w:tcW w:w="8359" w:type="dxa"/>
            <w:vAlign w:val="center"/>
          </w:tcPr>
          <w:p w14:paraId="393E9F37" w14:textId="77777777" w:rsidR="00EE1446" w:rsidRDefault="00094C8D" w:rsidP="005E5845">
            <w:pPr>
              <w:pStyle w:val="texto-REP"/>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m:t>
                        </m:r>
                        <m:r>
                          <m:rPr>
                            <m:sty m:val="p"/>
                          </m:rPr>
                          <w:rPr>
                            <w:rFonts w:ascii="Cambria Math" w:hAnsi="Cambria Math"/>
                          </w:rPr>
                          <m:t>→∞</m:t>
                        </m:r>
                      </m:lim>
                    </m:limLow>
                  </m:fName>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i</m:t>
                                </m:r>
                              </m:e>
                            </m:d>
                          </m:e>
                          <m:sup>
                            <m:r>
                              <w:rPr>
                                <w:rFonts w:ascii="Cambria Math" w:hAnsi="Cambria Math"/>
                              </w:rPr>
                              <m:t>t</m:t>
                            </m:r>
                          </m:sup>
                        </m:sSup>
                      </m:den>
                    </m:f>
                  </m:e>
                </m:func>
                <m:r>
                  <m:rPr>
                    <m:sty m:val="p"/>
                  </m:rPr>
                  <w:rPr>
                    <w:rFonts w:ascii="Cambria Math" w:hAnsi="Cambria Math"/>
                  </w:rPr>
                  <m:t>=0</m:t>
                </m:r>
              </m:oMath>
            </m:oMathPara>
          </w:p>
        </w:tc>
        <w:tc>
          <w:tcPr>
            <w:tcW w:w="706" w:type="dxa"/>
            <w:vAlign w:val="center"/>
          </w:tcPr>
          <w:p w14:paraId="326ED713" w14:textId="059B2AA5" w:rsidR="00EE1446" w:rsidRDefault="0080299F" w:rsidP="005E5845">
            <w:pPr>
              <w:pStyle w:val="texto-REP"/>
            </w:pPr>
            <w:r>
              <w:t>(</w:t>
            </w:r>
            <w:r w:rsidR="0050633C">
              <w:t>2)</w:t>
            </w:r>
          </w:p>
        </w:tc>
      </w:tr>
    </w:tbl>
    <w:p w14:paraId="7B79E78F" w14:textId="1BF2905C" w:rsidR="008621C0" w:rsidRPr="00FB2464" w:rsidRDefault="00EA7AF5" w:rsidP="005E5845">
      <w:pPr>
        <w:pStyle w:val="texto-REP"/>
      </w:pPr>
      <w:r w:rsidRPr="00FB2464">
        <w:t>At</w:t>
      </w:r>
      <w:r w:rsidR="00286CA2" w:rsidRPr="00FB2464">
        <w:t xml:space="preserve"> (</w:t>
      </w:r>
      <w:r w:rsidR="0080299F">
        <w:t>2</w:t>
      </w:r>
      <w:r w:rsidR="00286CA2" w:rsidRPr="00FB2464">
        <w:t>)</w:t>
      </w:r>
      <w:r w:rsidR="008621C0" w:rsidRPr="00FB2464">
        <w:t>,</w:t>
      </w:r>
      <w:r w:rsidR="00EA56EF">
        <w:rPr>
          <w:noProof/>
        </w:rPr>
        <w:t xml:space="preserve"> </w:t>
      </w:r>
      <m:oMath>
        <m:sSub>
          <m:sSubPr>
            <m:ctrlPr>
              <w:rPr>
                <w:rFonts w:ascii="Cambria Math" w:hAnsi="Cambria Math"/>
                <w:i/>
                <w:noProof/>
              </w:rPr>
            </m:ctrlPr>
          </m:sSubPr>
          <m:e>
            <m:r>
              <w:rPr>
                <w:rFonts w:ascii="Cambria Math" w:hAnsi="Cambria Math"/>
                <w:noProof/>
              </w:rPr>
              <m:t>B</m:t>
            </m:r>
          </m:e>
          <m:sub>
            <m:r>
              <w:rPr>
                <w:rFonts w:ascii="Cambria Math" w:hAnsi="Cambria Math"/>
                <w:noProof/>
              </w:rPr>
              <m:t>0</m:t>
            </m:r>
          </m:sub>
        </m:sSub>
        <m:r>
          <w:rPr>
            <w:rFonts w:ascii="Cambria Math" w:hAnsi="Cambria Math"/>
            <w:noProof/>
          </w:rPr>
          <m:t>=</m:t>
        </m:r>
        <m:nary>
          <m:naryPr>
            <m:chr m:val="∑"/>
            <m:limLoc m:val="subSup"/>
            <m:ctrlPr>
              <w:rPr>
                <w:rFonts w:ascii="Cambria Math" w:hAnsi="Cambria Math"/>
                <w:i/>
                <w:noProof/>
              </w:rPr>
            </m:ctrlPr>
          </m:naryPr>
          <m:sub>
            <m:r>
              <w:rPr>
                <w:rFonts w:ascii="Cambria Math" w:hAnsi="Cambria Math"/>
                <w:noProof/>
              </w:rPr>
              <m:t>k=1</m:t>
            </m:r>
          </m:sub>
          <m:sup>
            <m:r>
              <w:rPr>
                <w:rFonts w:ascii="Cambria Math" w:hAnsi="Cambria Math"/>
                <w:noProof/>
              </w:rPr>
              <m:t>∞</m:t>
            </m:r>
          </m:sup>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S</m:t>
                    </m:r>
                  </m:e>
                  <m:sub>
                    <m:r>
                      <w:rPr>
                        <w:rFonts w:ascii="Cambria Math" w:hAnsi="Cambria Math"/>
                        <w:noProof/>
                      </w:rPr>
                      <m:t>k</m:t>
                    </m:r>
                  </m:sub>
                </m:sSub>
              </m:num>
              <m:den>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1+i</m:t>
                        </m:r>
                      </m:e>
                    </m:d>
                  </m:e>
                  <m:sup>
                    <m:r>
                      <w:rPr>
                        <w:rFonts w:ascii="Cambria Math" w:hAnsi="Cambria Math"/>
                        <w:noProof/>
                      </w:rPr>
                      <m:t>k</m:t>
                    </m:r>
                  </m:sup>
                </m:sSup>
              </m:den>
            </m:f>
          </m:e>
        </m:nary>
      </m:oMath>
      <w:r w:rsidR="002E343F" w:rsidRPr="00FB2464">
        <w:t>, i.e</w:t>
      </w:r>
      <w:r w:rsidR="000A36F0" w:rsidRPr="00FB2464">
        <w:t>.</w:t>
      </w:r>
      <w:r w:rsidR="008621C0" w:rsidRPr="00FB2464">
        <w:t xml:space="preserve">, </w:t>
      </w:r>
      <w:r w:rsidR="002A4442" w:rsidRPr="00FB2464">
        <w:t xml:space="preserve">the discounted </w:t>
      </w:r>
      <w:r w:rsidR="001D6B39" w:rsidRPr="00FB2464">
        <w:t xml:space="preserve">sum of </w:t>
      </w:r>
      <w:r w:rsidR="002A4442" w:rsidRPr="00FB2464">
        <w:t>primary</w:t>
      </w:r>
      <w:r w:rsidR="00801393" w:rsidRPr="00FB2464">
        <w:t xml:space="preserve"> </w:t>
      </w:r>
      <w:r w:rsidR="000A36F0" w:rsidRPr="00FB2464">
        <w:t>surplus</w:t>
      </w:r>
      <w:r w:rsidR="002A4442" w:rsidRPr="00FB2464">
        <w:t>es</w:t>
      </w:r>
      <w:r w:rsidR="00801393" w:rsidRPr="00FB2464">
        <w:t xml:space="preserve"> </w:t>
      </w:r>
      <w:r w:rsidR="002A4442" w:rsidRPr="00FB2464">
        <w:t xml:space="preserve">at present value </w:t>
      </w:r>
      <w:r w:rsidR="001D6B39" w:rsidRPr="00FB2464">
        <w:t>is</w:t>
      </w:r>
      <w:r w:rsidR="002A4442" w:rsidRPr="00FB2464">
        <w:t xml:space="preserve"> equal to the current debt</w:t>
      </w:r>
      <w:r w:rsidR="00C7373B" w:rsidRPr="00FB2464">
        <w:t>.</w:t>
      </w:r>
    </w:p>
    <w:p w14:paraId="0EB561B2" w14:textId="66599F09" w:rsidR="003618E6" w:rsidRDefault="00D705CE" w:rsidP="005E5845">
      <w:pPr>
        <w:pStyle w:val="texto-REP"/>
        <w:rPr>
          <w:rFonts w:eastAsia="Times New Roman"/>
        </w:rPr>
      </w:pPr>
      <w:r w:rsidRPr="00FB2464">
        <w:t>The following notation is now defined</w:t>
      </w:r>
      <w:r w:rsidR="00FE3D2A">
        <w:t>:</w:t>
      </w:r>
      <w:r w:rsidR="008009B5" w:rsidRPr="00FB2464">
        <w:t xml:space="preserve"> L</w:t>
      </w:r>
      <w:r w:rsidR="00EA56EF">
        <w:t xml:space="preserve">et </w:t>
      </w:r>
      <m:oMath>
        <m:r>
          <w:rPr>
            <w:rFonts w:ascii="Cambria Math" w:hAnsi="Cambria Math"/>
          </w:rPr>
          <m:t>X</m:t>
        </m:r>
      </m:oMath>
      <w:r w:rsidRPr="00FB2464">
        <w:t xml:space="preserve"> be any variable (representing</w:t>
      </w:r>
      <w:r w:rsidR="008009B5" w:rsidRPr="00FB2464">
        <w:t>, for instance,</w:t>
      </w:r>
      <w:r w:rsidR="00EA56EF">
        <w:t xml:space="preserve"> </w:t>
      </w:r>
      <m:oMath>
        <m:r>
          <w:rPr>
            <w:rFonts w:ascii="Cambria Math" w:hAnsi="Cambria Math"/>
          </w:rPr>
          <m:t>B</m:t>
        </m:r>
      </m:oMath>
      <w:r w:rsidR="00EA56EF">
        <w:t xml:space="preserve">, </w:t>
      </w:r>
      <m:oMath>
        <m:r>
          <w:rPr>
            <w:rFonts w:ascii="Cambria Math" w:hAnsi="Cambria Math"/>
          </w:rPr>
          <m:t>G</m:t>
        </m:r>
      </m:oMath>
      <w:r w:rsidR="00EA56EF">
        <w:t xml:space="preserve">, or </w:t>
      </w:r>
      <m:oMath>
        <m:r>
          <w:rPr>
            <w:rFonts w:ascii="Cambria Math" w:hAnsi="Cambria Math"/>
          </w:rPr>
          <m:t>T</m:t>
        </m:r>
      </m:oMath>
      <w:r w:rsidRPr="00FB2464">
        <w:t>)</w:t>
      </w:r>
      <w:r w:rsidR="00FE3D2A">
        <w:t>,</w:t>
      </w:r>
      <w:r w:rsidR="00720C43">
        <w:t xml:space="preserve"> </w:t>
      </w:r>
      <m:oMath>
        <m:r>
          <w:rPr>
            <w:rFonts w:ascii="Cambria Math" w:hAnsi="Cambria Math"/>
          </w:rPr>
          <m:t>Y</m:t>
        </m:r>
      </m:oMath>
      <w:r w:rsidR="00720C43">
        <w:t xml:space="preserve"> be the GDP and</w:t>
      </w:r>
      <w:r w:rsidRPr="00FB2464">
        <w:t xml:space="preserve"> </w:t>
      </w:r>
      <m:oMath>
        <m:r>
          <w:rPr>
            <w:rFonts w:ascii="Cambria Math" w:hAnsi="Cambria Math"/>
            <w:sz w:val="20"/>
            <w:szCs w:val="20"/>
          </w:rPr>
          <m:t>x=</m:t>
        </m:r>
        <m:f>
          <m:fPr>
            <m:type m:val="skw"/>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Y</m:t>
            </m:r>
          </m:den>
        </m:f>
      </m:oMath>
      <w:r w:rsidRPr="00FB2464">
        <w:t xml:space="preserve">. </w:t>
      </w:r>
      <w:r w:rsidR="008009B5" w:rsidRPr="00FB2464">
        <w:t xml:space="preserve">Divide </w:t>
      </w:r>
      <w:r w:rsidR="0080299F">
        <w:rPr>
          <w:rFonts w:eastAsia="Times New Roman"/>
        </w:rPr>
        <w:t>both sides of (</w:t>
      </w:r>
      <w:r w:rsidR="00E45E8B">
        <w:rPr>
          <w:rFonts w:eastAsia="Times New Roman"/>
        </w:rPr>
        <w:t xml:space="preserve">1) by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t</m:t>
            </m:r>
          </m:sub>
        </m:sSub>
      </m:oMath>
      <w:r w:rsidR="008009B5" w:rsidRPr="00FB2464">
        <w:rPr>
          <w:rFonts w:eastAsia="Times New Roman"/>
        </w:rPr>
        <w:fldChar w:fldCharType="begin"/>
      </w:r>
      <w:r w:rsidR="008009B5" w:rsidRPr="00FB2464">
        <w:rPr>
          <w:rFonts w:eastAsia="Times New Roman"/>
        </w:rPr>
        <w:instrText xml:space="preserve"> QUOTE </w:instrText>
      </w:r>
      <m:oMath>
        <m:sSub>
          <m:sSubPr>
            <m:ctrlPr>
              <w:rPr>
                <w:rFonts w:ascii="Cambria Math" w:eastAsia="Times New Roman" w:hAnsi="Cambria Math"/>
                <w:i/>
              </w:rPr>
            </m:ctrlPr>
          </m:sSubPr>
          <m:e>
            <m:r>
              <m:rPr>
                <m:sty m:val="p"/>
              </m:rPr>
              <w:rPr>
                <w:rFonts w:ascii="Cambria Math" w:eastAsia="Times New Roman" w:hAnsi="Cambria Math"/>
              </w:rPr>
              <m:t>P</m:t>
            </m:r>
          </m:e>
          <m:sub>
            <m:r>
              <m:rPr>
                <m:sty m:val="p"/>
              </m:rPr>
              <w:rPr>
                <w:rFonts w:ascii="Cambria Math" w:eastAsia="Times New Roman" w:hAnsi="Cambria Math"/>
              </w:rPr>
              <m:t>t</m:t>
            </m:r>
          </m:sub>
        </m:sSub>
      </m:oMath>
      <w:r w:rsidR="008009B5" w:rsidRPr="00FB2464">
        <w:rPr>
          <w:rFonts w:eastAsia="Times New Roman"/>
        </w:rPr>
        <w:fldChar w:fldCharType="end"/>
      </w:r>
      <w:r w:rsidR="008009B5" w:rsidRPr="00FB2464">
        <w:rPr>
          <w:rFonts w:eastAsia="Times New Roman"/>
        </w:rPr>
        <w:t>, to obtain: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6"/>
      </w:tblGrid>
      <w:tr w:rsidR="00E45E8B" w:rsidRPr="0080299F" w14:paraId="708D00CE" w14:textId="77777777" w:rsidTr="003A6129">
        <w:trPr>
          <w:trHeight w:val="699"/>
        </w:trPr>
        <w:tc>
          <w:tcPr>
            <w:tcW w:w="8359" w:type="dxa"/>
            <w:vAlign w:val="center"/>
          </w:tcPr>
          <w:p w14:paraId="27805EE7" w14:textId="77777777" w:rsidR="00E45E8B" w:rsidRDefault="00094C8D" w:rsidP="005E5845">
            <w:pPr>
              <w:pStyle w:val="texto-REP"/>
              <w:rPr>
                <w:rFonts w:eastAsia="Times New Roman"/>
              </w:rPr>
            </w:pPr>
            <m:oMathPara>
              <m:oMath>
                <m:sSub>
                  <m:sSubPr>
                    <m:ctrlPr>
                      <w:rPr>
                        <w:rFonts w:ascii="Cambria Math" w:eastAsia="Times New Roman" w:hAnsi="Cambria Math"/>
                      </w:rPr>
                    </m:ctrlPr>
                  </m:sSubPr>
                  <m:e>
                    <m:r>
                      <w:rPr>
                        <w:rFonts w:ascii="Cambria Math" w:eastAsia="Times New Roman" w:hAnsi="Cambria Math"/>
                      </w:rPr>
                      <m:t>b</m:t>
                    </m:r>
                  </m:e>
                  <m:sub>
                    <m:r>
                      <w:rPr>
                        <w:rFonts w:ascii="Cambria Math" w:eastAsia="Times New Roman" w:hAnsi="Cambria Math"/>
                      </w:rPr>
                      <m:t>t</m:t>
                    </m:r>
                  </m:sub>
                </m:sSub>
                <m:r>
                  <m:rPr>
                    <m:sty m:val="p"/>
                  </m:rPr>
                  <w:rPr>
                    <w:rFonts w:ascii="Cambria Math" w:eastAsia="Times New Roman" w:hAnsi="Cambria Math"/>
                  </w:rPr>
                  <m:t>=</m:t>
                </m:r>
                <m:sSub>
                  <m:sSubPr>
                    <m:ctrlPr>
                      <w:rPr>
                        <w:rFonts w:ascii="Cambria Math" w:eastAsia="Times New Roman" w:hAnsi="Cambria Math"/>
                      </w:rPr>
                    </m:ctrlPr>
                  </m:sSubPr>
                  <m:e>
                    <m:r>
                      <w:rPr>
                        <w:rFonts w:ascii="Cambria Math" w:eastAsia="Times New Roman" w:hAnsi="Cambria Math"/>
                      </w:rPr>
                      <m:t>g</m:t>
                    </m:r>
                  </m:e>
                  <m:sub>
                    <m:r>
                      <w:rPr>
                        <w:rFonts w:ascii="Cambria Math" w:eastAsia="Times New Roman" w:hAnsi="Cambria Math"/>
                      </w:rPr>
                      <m:t>t</m:t>
                    </m:r>
                  </m:sub>
                </m:sSub>
                <m:r>
                  <m:rPr>
                    <m:sty m:val="p"/>
                  </m:rPr>
                  <w:rPr>
                    <w:rFonts w:ascii="Cambria Math" w:eastAsia="Times New Roman" w:hAnsi="Cambria Math"/>
                  </w:rPr>
                  <m:t>-</m:t>
                </m:r>
                <m:sSub>
                  <m:sSubPr>
                    <m:ctrlPr>
                      <w:rPr>
                        <w:rFonts w:ascii="Cambria Math" w:eastAsia="Times New Roman" w:hAnsi="Cambria Math"/>
                      </w:rPr>
                    </m:ctrlPr>
                  </m:sSubPr>
                  <m:e>
                    <m:r>
                      <w:rPr>
                        <w:rFonts w:ascii="Cambria Math" w:eastAsia="Times New Roman" w:hAnsi="Cambria Math"/>
                      </w:rPr>
                      <m:t>t</m:t>
                    </m:r>
                  </m:e>
                  <m:sub>
                    <m:r>
                      <w:rPr>
                        <w:rFonts w:ascii="Cambria Math" w:eastAsia="Times New Roman" w:hAnsi="Cambria Math"/>
                      </w:rPr>
                      <m:t>t</m:t>
                    </m:r>
                  </m:sub>
                </m:sSub>
                <m:r>
                  <m:rPr>
                    <m:sty m:val="p"/>
                  </m:rPr>
                  <w:rPr>
                    <w:rFonts w:ascii="Cambria Math" w:eastAsia="Times New Roman" w:hAnsi="Cambria Math"/>
                  </w:rPr>
                  <m:t>+</m:t>
                </m:r>
                <m:d>
                  <m:dPr>
                    <m:ctrlPr>
                      <w:rPr>
                        <w:rFonts w:ascii="Cambria Math" w:eastAsia="Times New Roman" w:hAnsi="Cambria Math"/>
                      </w:rPr>
                    </m:ctrlPr>
                  </m:dPr>
                  <m:e>
                    <m:r>
                      <m:rPr>
                        <m:sty m:val="p"/>
                      </m:rPr>
                      <w:rPr>
                        <w:rFonts w:ascii="Cambria Math" w:eastAsia="Times New Roman" w:hAnsi="Cambria Math"/>
                      </w:rPr>
                      <m:t>1+</m:t>
                    </m:r>
                    <m:sSub>
                      <m:sSubPr>
                        <m:ctrlPr>
                          <w:rPr>
                            <w:rFonts w:ascii="Cambria Math" w:eastAsia="Times New Roman" w:hAnsi="Cambria Math"/>
                          </w:rPr>
                        </m:ctrlPr>
                      </m:sSubPr>
                      <m:e>
                        <m:r>
                          <w:rPr>
                            <w:rFonts w:ascii="Cambria Math" w:eastAsia="Times New Roman" w:hAnsi="Cambria Math"/>
                          </w:rPr>
                          <m:t>i</m:t>
                        </m:r>
                      </m:e>
                      <m:sub>
                        <m:r>
                          <w:rPr>
                            <w:rFonts w:ascii="Cambria Math" w:eastAsia="Times New Roman" w:hAnsi="Cambria Math"/>
                          </w:rPr>
                          <m:t>t</m:t>
                        </m:r>
                      </m:sub>
                    </m:sSub>
                  </m:e>
                </m:d>
                <m:sSub>
                  <m:sSubPr>
                    <m:ctrlPr>
                      <w:rPr>
                        <w:rFonts w:ascii="Cambria Math" w:eastAsia="Times New Roman" w:hAnsi="Cambria Math"/>
                      </w:rPr>
                    </m:ctrlPr>
                  </m:sSubPr>
                  <m:e>
                    <m:r>
                      <w:rPr>
                        <w:rFonts w:ascii="Cambria Math" w:eastAsia="Times New Roman" w:hAnsi="Cambria Math"/>
                      </w:rPr>
                      <m:t>b</m:t>
                    </m:r>
                  </m:e>
                  <m:sub>
                    <m:r>
                      <w:rPr>
                        <w:rFonts w:ascii="Cambria Math" w:eastAsia="Times New Roman" w:hAnsi="Cambria Math"/>
                      </w:rPr>
                      <m:t>t</m:t>
                    </m:r>
                    <m:r>
                      <m:rPr>
                        <m:sty m:val="p"/>
                      </m:rPr>
                      <w:rPr>
                        <w:rFonts w:ascii="Cambria Math" w:eastAsia="Times New Roman" w:hAnsi="Cambria Math"/>
                      </w:rPr>
                      <m:t>-1</m:t>
                    </m:r>
                  </m:sub>
                </m:sSub>
                <m:f>
                  <m:fPr>
                    <m:ctrlPr>
                      <w:rPr>
                        <w:rFonts w:ascii="Cambria Math" w:eastAsia="Times New Roman" w:hAnsi="Cambria Math"/>
                      </w:rPr>
                    </m:ctrlPr>
                  </m:fPr>
                  <m:num>
                    <m:sSub>
                      <m:sSubPr>
                        <m:ctrlPr>
                          <w:rPr>
                            <w:rFonts w:ascii="Cambria Math" w:eastAsia="Times New Roman" w:hAnsi="Cambria Math"/>
                          </w:rPr>
                        </m:ctrlPr>
                      </m:sSubPr>
                      <m:e>
                        <m:r>
                          <w:rPr>
                            <w:rFonts w:ascii="Cambria Math" w:eastAsia="Times New Roman" w:hAnsi="Cambria Math"/>
                          </w:rPr>
                          <m:t>Y</m:t>
                        </m:r>
                      </m:e>
                      <m:sub>
                        <m:r>
                          <w:rPr>
                            <w:rFonts w:ascii="Cambria Math" w:eastAsia="Times New Roman" w:hAnsi="Cambria Math"/>
                          </w:rPr>
                          <m:t>t</m:t>
                        </m:r>
                        <m:r>
                          <m:rPr>
                            <m:sty m:val="p"/>
                          </m:rPr>
                          <w:rPr>
                            <w:rFonts w:ascii="Cambria Math" w:eastAsia="Times New Roman" w:hAnsi="Cambria Math"/>
                          </w:rPr>
                          <m:t>-1</m:t>
                        </m:r>
                      </m:sub>
                    </m:sSub>
                  </m:num>
                  <m:den>
                    <m:sSub>
                      <m:sSubPr>
                        <m:ctrlPr>
                          <w:rPr>
                            <w:rFonts w:ascii="Cambria Math" w:eastAsia="Times New Roman" w:hAnsi="Cambria Math"/>
                          </w:rPr>
                        </m:ctrlPr>
                      </m:sSubPr>
                      <m:e>
                        <m:r>
                          <w:rPr>
                            <w:rFonts w:ascii="Cambria Math" w:eastAsia="Times New Roman" w:hAnsi="Cambria Math"/>
                          </w:rPr>
                          <m:t>Y</m:t>
                        </m:r>
                      </m:e>
                      <m:sub>
                        <m:r>
                          <w:rPr>
                            <w:rFonts w:ascii="Cambria Math" w:eastAsia="Times New Roman" w:hAnsi="Cambria Math"/>
                          </w:rPr>
                          <m:t>t</m:t>
                        </m:r>
                      </m:sub>
                    </m:sSub>
                  </m:den>
                </m:f>
              </m:oMath>
            </m:oMathPara>
          </w:p>
        </w:tc>
        <w:tc>
          <w:tcPr>
            <w:tcW w:w="706" w:type="dxa"/>
            <w:vAlign w:val="center"/>
          </w:tcPr>
          <w:p w14:paraId="02C5925F" w14:textId="016C232B" w:rsidR="00E45E8B" w:rsidRDefault="0080299F" w:rsidP="005E5845">
            <w:pPr>
              <w:pStyle w:val="texto-REP"/>
              <w:rPr>
                <w:rFonts w:eastAsia="Times New Roman"/>
              </w:rPr>
            </w:pPr>
            <w:r>
              <w:rPr>
                <w:rFonts w:eastAsia="Times New Roman"/>
              </w:rPr>
              <w:t>(</w:t>
            </w:r>
            <w:r w:rsidR="00E45E8B">
              <w:rPr>
                <w:rFonts w:eastAsia="Times New Roman"/>
              </w:rPr>
              <w:t>3)</w:t>
            </w:r>
          </w:p>
        </w:tc>
      </w:tr>
    </w:tbl>
    <w:p w14:paraId="70DF5892" w14:textId="77777777" w:rsidR="00AF6DBD" w:rsidRDefault="008009B5" w:rsidP="005E5845">
      <w:pPr>
        <w:pStyle w:val="texto-REP"/>
      </w:pPr>
      <w:r w:rsidRPr="00FB2464">
        <w:t>Define t</w:t>
      </w:r>
      <w:r w:rsidR="00D705CE" w:rsidRPr="00FB2464">
        <w:t xml:space="preserve">he </w:t>
      </w:r>
      <w:r w:rsidR="00F256CE" w:rsidRPr="00FB2464">
        <w:t xml:space="preserve">GDP growth </w:t>
      </w:r>
      <w:r w:rsidR="00D705CE" w:rsidRPr="00FB2464">
        <w:t>rate</w:t>
      </w:r>
      <w:r w:rsidR="00E45E8B">
        <w:t xml:space="preserve"> as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AF6DBD" w:rsidRPr="00FB2464">
        <w:t xml:space="preserve">: </w:t>
      </w: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733"/>
      </w:tblGrid>
      <w:tr w:rsidR="00E45E8B" w:rsidRPr="00E45E8B" w14:paraId="55FB5062" w14:textId="77777777" w:rsidTr="003A6129">
        <w:trPr>
          <w:trHeight w:val="515"/>
        </w:trPr>
        <w:tc>
          <w:tcPr>
            <w:tcW w:w="8334" w:type="dxa"/>
            <w:vAlign w:val="center"/>
          </w:tcPr>
          <w:p w14:paraId="4BC19C35" w14:textId="77777777" w:rsidR="00E45E8B" w:rsidRDefault="00094C8D" w:rsidP="005E5845">
            <w:pPr>
              <w:pStyle w:val="texto-REP"/>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t</m:t>
                        </m:r>
                      </m:sub>
                    </m:sSub>
                  </m:e>
                </m:d>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oMath>
            </m:oMathPara>
          </w:p>
        </w:tc>
        <w:tc>
          <w:tcPr>
            <w:tcW w:w="733" w:type="dxa"/>
            <w:vAlign w:val="center"/>
          </w:tcPr>
          <w:p w14:paraId="5D9270B9" w14:textId="5AF66919" w:rsidR="00E45E8B" w:rsidRDefault="0080299F" w:rsidP="005E5845">
            <w:pPr>
              <w:pStyle w:val="texto-REP"/>
            </w:pPr>
            <w:r>
              <w:t>(</w:t>
            </w:r>
            <w:r w:rsidR="00E45E8B">
              <w:t>4)</w:t>
            </w:r>
          </w:p>
        </w:tc>
      </w:tr>
    </w:tbl>
    <w:p w14:paraId="6E6AAEED" w14:textId="2A6E1A00" w:rsidR="00AF6DBD" w:rsidRPr="00FB2464" w:rsidRDefault="00D705CE" w:rsidP="005E5845">
      <w:pPr>
        <w:pStyle w:val="texto-REP"/>
      </w:pPr>
      <w:r w:rsidRPr="00FB2464">
        <w:t>Us</w:t>
      </w:r>
      <w:r w:rsidR="008009B5" w:rsidRPr="00FB2464">
        <w:t xml:space="preserve">e </w:t>
      </w:r>
      <w:r w:rsidR="0080299F">
        <w:t>(</w:t>
      </w:r>
      <w:r w:rsidR="00D32306" w:rsidRPr="00FB2464">
        <w:t>4</w:t>
      </w:r>
      <w:r w:rsidR="00AF6DBD" w:rsidRPr="00FB2464">
        <w:t xml:space="preserve">) </w:t>
      </w:r>
      <w:r w:rsidRPr="00FB2464">
        <w:t>in</w:t>
      </w:r>
      <w:r w:rsidR="00AF6DBD" w:rsidRPr="00FB2464">
        <w:t xml:space="preserve"> </w:t>
      </w:r>
      <w:r w:rsidR="0080299F">
        <w:t>(</w:t>
      </w:r>
      <w:r w:rsidR="00D32306" w:rsidRPr="00FB2464">
        <w:t>3</w:t>
      </w:r>
      <w:r w:rsidR="00AF6DBD" w:rsidRPr="00FB2464">
        <w:t>)</w:t>
      </w:r>
      <w:r w:rsidR="00801393" w:rsidRPr="00FB2464">
        <w:t xml:space="preserve"> </w:t>
      </w:r>
      <w:r w:rsidRPr="00FB2464">
        <w:t>and</w:t>
      </w:r>
      <w:r w:rsidR="00801393" w:rsidRPr="00FB2464">
        <w:t xml:space="preserve"> </w:t>
      </w:r>
      <w:r w:rsidR="00D725E7">
        <w:t>make</w:t>
      </w:r>
      <w:r w:rsidR="00D725E7">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t</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g</m:t>
            </m:r>
          </m:e>
          <m:sub>
            <m:r>
              <w:rPr>
                <w:rFonts w:ascii="Cambria Math" w:hAnsi="Cambria Math"/>
                <w:vertAlign w:val="subscript"/>
              </w:rPr>
              <m:t>t</m:t>
            </m:r>
          </m:sub>
        </m:sSub>
      </m:oMath>
      <w:r w:rsidR="00D725E7">
        <w:rPr>
          <w:vertAlign w:val="subscript"/>
        </w:rPr>
        <w:t xml:space="preserve"> </w:t>
      </w:r>
      <w:r w:rsidR="008009B5" w:rsidRPr="00FB2464">
        <w:t xml:space="preserve">stand for the </w:t>
      </w:r>
      <w:r w:rsidRPr="00FB2464">
        <w:t xml:space="preserve">primary </w:t>
      </w:r>
      <w:r w:rsidR="00D50C0B" w:rsidRPr="00FB2464">
        <w:t>surplus</w:t>
      </w:r>
      <w:r w:rsidR="00801393" w:rsidRPr="00FB2464">
        <w:t xml:space="preserve"> </w:t>
      </w:r>
      <w:r w:rsidR="008009B5" w:rsidRPr="00FB2464">
        <w:t xml:space="preserve">as a fraction of </w:t>
      </w:r>
      <w:r w:rsidR="00F256CE" w:rsidRPr="00FB2464">
        <w:t>GDP</w:t>
      </w:r>
      <w:r w:rsidR="008009B5" w:rsidRPr="00FB2464">
        <w:t xml:space="preserve"> to obtain: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6"/>
      </w:tblGrid>
      <w:tr w:rsidR="00E45E8B" w:rsidRPr="00D725E7" w14:paraId="026A0799" w14:textId="77777777" w:rsidTr="003A6129">
        <w:trPr>
          <w:trHeight w:val="738"/>
        </w:trPr>
        <w:tc>
          <w:tcPr>
            <w:tcW w:w="8359" w:type="dxa"/>
            <w:vAlign w:val="center"/>
          </w:tcPr>
          <w:p w14:paraId="71785C88" w14:textId="77777777" w:rsidR="00E45E8B" w:rsidRDefault="00094C8D" w:rsidP="005E5845">
            <w:pPr>
              <w:pStyle w:val="texto-REP"/>
            </w:pPr>
            <m:oMathPara>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t</m:t>
                            </m:r>
                          </m:sub>
                        </m:sSub>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t</m:t>
                            </m:r>
                          </m:sub>
                        </m:sSub>
                      </m:e>
                    </m:d>
                  </m:den>
                </m:f>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oMath>
            </m:oMathPara>
          </w:p>
        </w:tc>
        <w:tc>
          <w:tcPr>
            <w:tcW w:w="706" w:type="dxa"/>
            <w:vAlign w:val="center"/>
          </w:tcPr>
          <w:p w14:paraId="3182CFC8" w14:textId="53EF2897" w:rsidR="00E45E8B" w:rsidRDefault="0080299F" w:rsidP="005E5845">
            <w:pPr>
              <w:pStyle w:val="texto-REP"/>
            </w:pPr>
            <w:r>
              <w:t>(</w:t>
            </w:r>
            <w:r w:rsidR="00D725E7">
              <w:t>5)</w:t>
            </w:r>
          </w:p>
        </w:tc>
      </w:tr>
    </w:tbl>
    <w:p w14:paraId="0E906BC4" w14:textId="77777777" w:rsidR="008F55C3" w:rsidRDefault="005953FB" w:rsidP="005E5845">
      <w:pPr>
        <w:pStyle w:val="texto-REP"/>
      </w:pPr>
      <w:r w:rsidRPr="00FB2464">
        <w:t xml:space="preserve">Bohn (1998) </w:t>
      </w:r>
      <w:r w:rsidR="00CE0F57" w:rsidRPr="00FB2464">
        <w:t>estab</w:t>
      </w:r>
      <w:r w:rsidR="001E4575" w:rsidRPr="00FB2464">
        <w:t xml:space="preserve">lishes a </w:t>
      </w:r>
      <w:r w:rsidR="00E976C2" w:rsidRPr="00FB2464">
        <w:t>fiscal reaction</w:t>
      </w:r>
      <w:r w:rsidR="00D705CE" w:rsidRPr="00FB2464">
        <w:t xml:space="preserve"> mechanism</w:t>
      </w:r>
      <w:r w:rsidR="008F55C3" w:rsidRPr="00FB2464">
        <w:t>, defin</w:t>
      </w:r>
      <w:r w:rsidR="00D705CE" w:rsidRPr="00FB2464">
        <w:t>e</w:t>
      </w:r>
      <w:r w:rsidR="008F55C3" w:rsidRPr="00FB2464">
        <w:t>d</w:t>
      </w:r>
      <w:r w:rsidR="00D705CE" w:rsidRPr="00FB2464">
        <w:t xml:space="preserve"> as follows</w:t>
      </w:r>
      <w:r w:rsidR="008F55C3" w:rsidRPr="00FB2464">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6"/>
      </w:tblGrid>
      <w:tr w:rsidR="00D725E7" w14:paraId="036E01F5" w14:textId="77777777" w:rsidTr="003A6129">
        <w:trPr>
          <w:trHeight w:val="379"/>
        </w:trPr>
        <w:tc>
          <w:tcPr>
            <w:tcW w:w="8359" w:type="dxa"/>
            <w:vAlign w:val="center"/>
          </w:tcPr>
          <w:p w14:paraId="1A7E9D65" w14:textId="77777777" w:rsidR="00D725E7" w:rsidRDefault="00094C8D" w:rsidP="005E5845">
            <w:pPr>
              <w:pStyle w:val="texto-REP"/>
            </w:pP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 xml:space="preserve">-1 </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X</m:t>
                    </m:r>
                  </m:e>
                  <m:sub>
                    <m:r>
                      <w:rPr>
                        <w:rFonts w:ascii="Cambria Math" w:hAnsi="Cambria Math"/>
                      </w:rPr>
                      <m:t>t</m:t>
                    </m:r>
                  </m:sub>
                </m:sSub>
              </m:oMath>
            </m:oMathPara>
          </w:p>
        </w:tc>
        <w:tc>
          <w:tcPr>
            <w:tcW w:w="706" w:type="dxa"/>
            <w:vAlign w:val="center"/>
          </w:tcPr>
          <w:p w14:paraId="0668F43A" w14:textId="0CD69CEC" w:rsidR="00D725E7" w:rsidRDefault="0080299F" w:rsidP="005E5845">
            <w:pPr>
              <w:pStyle w:val="texto-REP"/>
            </w:pPr>
            <w:r>
              <w:t>(</w:t>
            </w:r>
            <w:r w:rsidR="00D725E7">
              <w:t>6)</w:t>
            </w:r>
          </w:p>
        </w:tc>
      </w:tr>
    </w:tbl>
    <w:p w14:paraId="77C8386A" w14:textId="77777777" w:rsidR="0093749D" w:rsidRPr="00FB2464" w:rsidRDefault="0090095A" w:rsidP="005E5845">
      <w:pPr>
        <w:pStyle w:val="texto-REP"/>
      </w:pPr>
      <w:r w:rsidRPr="00FB2464">
        <w:t>where</w:t>
      </w:r>
      <w:r w:rsidR="00801393" w:rsidRPr="00FB2464">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01393" w:rsidRPr="00FB2464">
        <w:rPr>
          <w:vertAlign w:val="subscript"/>
        </w:rPr>
        <w:t xml:space="preserve"> </w:t>
      </w:r>
      <w:r w:rsidR="00767095" w:rsidRPr="00FB2464">
        <w:t>is a vector of control</w:t>
      </w:r>
      <w:r w:rsidR="00D705CE" w:rsidRPr="00FB2464">
        <w:t xml:space="preserve"> variables</w:t>
      </w:r>
      <w:r w:rsidR="008F55C3" w:rsidRPr="00FB2464">
        <w:t xml:space="preserve">. </w:t>
      </w:r>
    </w:p>
    <w:p w14:paraId="5729347D" w14:textId="77777777" w:rsidR="005206D4" w:rsidRPr="00FB2464" w:rsidRDefault="008009B5" w:rsidP="005E5845">
      <w:pPr>
        <w:pStyle w:val="texto-REP"/>
      </w:pPr>
      <w:r w:rsidRPr="00FB2464">
        <w:t>W</w:t>
      </w:r>
      <w:r w:rsidR="00D705CE" w:rsidRPr="00FB2464">
        <w:t>ith the purpose of evaluating the sustainability condition for the simplest case</w:t>
      </w:r>
      <w:r w:rsidR="005948FE" w:rsidRPr="00FB2464">
        <w:t xml:space="preserve">, the </w:t>
      </w:r>
      <w:r w:rsidR="00D725E7" w:rsidRPr="00FB2464">
        <w:t>parameters</w:t>
      </w:r>
      <m:oMath>
        <m:r>
          <w:rPr>
            <w:rFonts w:ascii="Cambria Math" w:hAnsi="Cambria Math"/>
          </w:rPr>
          <m:t xml:space="preserve"> ρ</m:t>
        </m:r>
      </m:oMath>
      <w:r w:rsidR="00921D16" w:rsidRPr="00FB2464">
        <w:t xml:space="preserve">, </w:t>
      </w:r>
      <m:oMath>
        <m:r>
          <w:rPr>
            <w:rFonts w:ascii="Cambria Math" w:hAnsi="Cambria Math"/>
          </w:rPr>
          <m:t>i</m:t>
        </m:r>
      </m:oMath>
      <w:r w:rsidRPr="00FB2464">
        <w:t xml:space="preserve"> and </w:t>
      </w:r>
      <m:oMath>
        <m:r>
          <w:rPr>
            <w:rFonts w:ascii="Cambria Math" w:hAnsi="Cambria Math"/>
          </w:rPr>
          <w:lastRenderedPageBreak/>
          <m:t>θ</m:t>
        </m:r>
      </m:oMath>
      <w:r w:rsidRPr="00FB2464">
        <w:t xml:space="preserve"> </w:t>
      </w:r>
      <w:r w:rsidR="00D705CE" w:rsidRPr="00FB2464">
        <w:t>are considered constant</w:t>
      </w:r>
      <w:r w:rsidR="00CE0F57" w:rsidRPr="00FB2464">
        <w:rPr>
          <w:rStyle w:val="Refdenotaderodap"/>
          <w:rFonts w:cs="Times New Roman"/>
        </w:rPr>
        <w:footnoteReference w:id="5"/>
      </w:r>
      <w:r w:rsidR="008F55C3" w:rsidRPr="00FB2464">
        <w:t>.</w:t>
      </w:r>
    </w:p>
    <w:p w14:paraId="62CF9485" w14:textId="61D593F5" w:rsidR="00397A8E" w:rsidRDefault="00E4142A" w:rsidP="005E5845">
      <w:pPr>
        <w:pStyle w:val="texto-REP"/>
        <w:rPr>
          <w:rFonts w:eastAsia="Times New Roman"/>
        </w:rPr>
      </w:pPr>
      <w:r w:rsidRPr="00FB2464">
        <w:t>Replacing</w:t>
      </w:r>
      <w:r w:rsidR="00306B4D" w:rsidRPr="00FB2464">
        <w:t xml:space="preserve"> </w:t>
      </w:r>
      <w:r w:rsidR="0080299F">
        <w:t>(</w:t>
      </w:r>
      <w:r w:rsidR="002F4D12" w:rsidRPr="00FB2464">
        <w:t>6</w:t>
      </w:r>
      <w:r w:rsidR="00801393" w:rsidRPr="00FB2464">
        <w:t>) in</w:t>
      </w:r>
      <w:r w:rsidR="00BF0DDB" w:rsidRPr="00FB2464">
        <w:t xml:space="preserve"> </w:t>
      </w:r>
      <w:r w:rsidR="0080299F">
        <w:t>(</w:t>
      </w:r>
      <w:r w:rsidR="002F4D12" w:rsidRPr="00FB2464">
        <w:t>5</w:t>
      </w:r>
      <w:r w:rsidR="00BF0DDB" w:rsidRPr="00FB2464">
        <w:t>)</w:t>
      </w:r>
      <w:r w:rsidR="001F2B92" w:rsidRPr="00FB2464">
        <w:rPr>
          <w:rStyle w:val="Refdenotaderodap"/>
          <w:rFonts w:cs="Times New Roman"/>
        </w:rPr>
        <w:footnoteReference w:id="6"/>
      </w:r>
      <w:r w:rsidR="00306B4D" w:rsidRPr="00FB2464">
        <w:rPr>
          <w:rFonts w:eastAsia="Times New Roman"/>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6"/>
      </w:tblGrid>
      <w:tr w:rsidR="00D725E7" w14:paraId="7A314642" w14:textId="77777777" w:rsidTr="008F0DA6">
        <w:trPr>
          <w:trHeight w:val="767"/>
        </w:trPr>
        <w:tc>
          <w:tcPr>
            <w:tcW w:w="8359" w:type="dxa"/>
            <w:vAlign w:val="center"/>
          </w:tcPr>
          <w:p w14:paraId="1A1D9054" w14:textId="77777777" w:rsidR="00D725E7" w:rsidRDefault="00094C8D" w:rsidP="005E5845">
            <w:pPr>
              <w:pStyle w:val="texto-REP"/>
              <w:rPr>
                <w:rFonts w:eastAsia="Times New Roman"/>
              </w:rPr>
            </w:pPr>
            <m:oMathPara>
              <m:oMath>
                <m:sSub>
                  <m:sSubPr>
                    <m:ctrlPr>
                      <w:rPr>
                        <w:rFonts w:ascii="Cambria Math" w:eastAsia="Times New Roman" w:hAnsi="Cambria Math"/>
                      </w:rPr>
                    </m:ctrlPr>
                  </m:sSubPr>
                  <m:e>
                    <m:r>
                      <w:rPr>
                        <w:rFonts w:ascii="Cambria Math" w:eastAsia="Times New Roman" w:hAnsi="Cambria Math"/>
                      </w:rPr>
                      <m:t>b</m:t>
                    </m:r>
                  </m:e>
                  <m:sub>
                    <m:r>
                      <w:rPr>
                        <w:rFonts w:ascii="Cambria Math" w:eastAsia="Times New Roman" w:hAnsi="Cambria Math"/>
                      </w:rPr>
                      <m:t>t</m:t>
                    </m:r>
                  </m:sub>
                </m:sSub>
                <m:r>
                  <m:rPr>
                    <m:sty m:val="p"/>
                  </m:rPr>
                  <w:rPr>
                    <w:rFonts w:ascii="Cambria Math" w:eastAsia="Times New Roman" w:hAnsi="Cambria Math"/>
                  </w:rPr>
                  <m:t>=</m:t>
                </m:r>
                <m:d>
                  <m:dPr>
                    <m:ctrlPr>
                      <w:rPr>
                        <w:rFonts w:ascii="Cambria Math" w:eastAsia="Times New Roman" w:hAnsi="Cambria Math"/>
                      </w:rPr>
                    </m:ctrlPr>
                  </m:dPr>
                  <m:e>
                    <m:f>
                      <m:fPr>
                        <m:ctrlPr>
                          <w:rPr>
                            <w:rFonts w:ascii="Cambria Math" w:eastAsia="Times New Roman" w:hAnsi="Cambria Math"/>
                          </w:rPr>
                        </m:ctrlPr>
                      </m:fPr>
                      <m:num>
                        <m:r>
                          <m:rPr>
                            <m:sty m:val="p"/>
                          </m:rPr>
                          <w:rPr>
                            <w:rFonts w:ascii="Cambria Math" w:eastAsia="Times New Roman" w:hAnsi="Cambria Math"/>
                          </w:rPr>
                          <m:t>1+</m:t>
                        </m:r>
                        <m:r>
                          <w:rPr>
                            <w:rFonts w:ascii="Cambria Math" w:eastAsia="Times New Roman" w:hAnsi="Cambria Math"/>
                          </w:rPr>
                          <m:t>i</m:t>
                        </m:r>
                      </m:num>
                      <m:den>
                        <m:r>
                          <m:rPr>
                            <m:sty m:val="p"/>
                          </m:rPr>
                          <w:rPr>
                            <w:rFonts w:ascii="Cambria Math" w:eastAsia="Times New Roman" w:hAnsi="Cambria Math"/>
                          </w:rPr>
                          <m:t>1+</m:t>
                        </m:r>
                        <m:r>
                          <w:rPr>
                            <w:rFonts w:ascii="Cambria Math" w:eastAsia="Times New Roman" w:hAnsi="Cambria Math"/>
                          </w:rPr>
                          <m:t>θ</m:t>
                        </m:r>
                      </m:den>
                    </m:f>
                    <m:r>
                      <m:rPr>
                        <m:sty m:val="p"/>
                      </m:rPr>
                      <w:rPr>
                        <w:rFonts w:ascii="Cambria Math" w:eastAsia="Times New Roman" w:hAnsi="Cambria Math"/>
                      </w:rPr>
                      <m:t>-</m:t>
                    </m:r>
                    <m:r>
                      <w:rPr>
                        <w:rFonts w:ascii="Cambria Math" w:eastAsia="Times New Roman" w:hAnsi="Cambria Math"/>
                      </w:rPr>
                      <m:t>ρ</m:t>
                    </m:r>
                  </m:e>
                </m:d>
                <m:sSub>
                  <m:sSubPr>
                    <m:ctrlPr>
                      <w:rPr>
                        <w:rFonts w:ascii="Cambria Math" w:eastAsia="Times New Roman" w:hAnsi="Cambria Math"/>
                      </w:rPr>
                    </m:ctrlPr>
                  </m:sSubPr>
                  <m:e>
                    <m:r>
                      <w:rPr>
                        <w:rFonts w:ascii="Cambria Math" w:eastAsia="Times New Roman" w:hAnsi="Cambria Math"/>
                      </w:rPr>
                      <m:t>b</m:t>
                    </m:r>
                  </m:e>
                  <m:sub>
                    <m:r>
                      <w:rPr>
                        <w:rFonts w:ascii="Cambria Math" w:eastAsia="Times New Roman" w:hAnsi="Cambria Math"/>
                      </w:rPr>
                      <m:t>t</m:t>
                    </m:r>
                    <m:r>
                      <m:rPr>
                        <m:sty m:val="p"/>
                      </m:rPr>
                      <w:rPr>
                        <w:rFonts w:ascii="Cambria Math" w:eastAsia="Times New Roman" w:hAnsi="Cambria Math"/>
                      </w:rPr>
                      <m:t>-1</m:t>
                    </m:r>
                  </m:sub>
                </m:sSub>
              </m:oMath>
            </m:oMathPara>
          </w:p>
        </w:tc>
        <w:tc>
          <w:tcPr>
            <w:tcW w:w="706" w:type="dxa"/>
            <w:vAlign w:val="center"/>
          </w:tcPr>
          <w:p w14:paraId="7B36A3A7" w14:textId="05DF4773" w:rsidR="00D725E7" w:rsidRDefault="0080299F" w:rsidP="005E5845">
            <w:pPr>
              <w:pStyle w:val="texto-REP"/>
              <w:rPr>
                <w:rFonts w:eastAsia="Times New Roman"/>
              </w:rPr>
            </w:pPr>
            <w:r>
              <w:t>(</w:t>
            </w:r>
            <w:r w:rsidR="00E233ED" w:rsidRPr="00FB2464">
              <w:t>7)</w:t>
            </w:r>
          </w:p>
        </w:tc>
      </w:tr>
    </w:tbl>
    <w:p w14:paraId="645DF7A9" w14:textId="551E4AC8" w:rsidR="00397A8E" w:rsidRDefault="00945C3C" w:rsidP="005E5845">
      <w:pPr>
        <w:pStyle w:val="texto-REP"/>
        <w:rPr>
          <w:rFonts w:eastAsia="Times New Roman"/>
        </w:rPr>
      </w:pPr>
      <w:r w:rsidRPr="00FB2464">
        <w:rPr>
          <w:rFonts w:eastAsia="Times New Roman"/>
        </w:rPr>
        <w:t>S</w:t>
      </w:r>
      <w:r w:rsidR="00E4142A" w:rsidRPr="00FB2464">
        <w:rPr>
          <w:rFonts w:eastAsia="Times New Roman"/>
        </w:rPr>
        <w:t>olvi</w:t>
      </w:r>
      <w:r w:rsidR="00E10BB9" w:rsidRPr="00FB2464">
        <w:rPr>
          <w:rFonts w:eastAsia="Times New Roman"/>
        </w:rPr>
        <w:t>n</w:t>
      </w:r>
      <w:r w:rsidR="00E4142A" w:rsidRPr="00FB2464">
        <w:rPr>
          <w:rFonts w:eastAsia="Times New Roman"/>
        </w:rPr>
        <w:t>g</w:t>
      </w:r>
      <w:r w:rsidR="00E10BB9" w:rsidRPr="00FB2464">
        <w:rPr>
          <w:rFonts w:eastAsia="Times New Roman"/>
        </w:rPr>
        <w:t xml:space="preserve"> </w:t>
      </w:r>
      <w:r w:rsidR="0080299F">
        <w:rPr>
          <w:rFonts w:eastAsia="Times New Roman"/>
        </w:rPr>
        <w:t>(</w:t>
      </w:r>
      <w:r w:rsidR="002F4D12" w:rsidRPr="00FB2464">
        <w:rPr>
          <w:rFonts w:eastAsia="Times New Roman"/>
        </w:rPr>
        <w:t>7</w:t>
      </w:r>
      <w:r w:rsidR="00E10BB9" w:rsidRPr="00FB2464">
        <w:rPr>
          <w:rFonts w:eastAsia="Times New Roman"/>
        </w:rPr>
        <w:t>) iterativ</w:t>
      </w:r>
      <w:r w:rsidR="00E4142A" w:rsidRPr="00FB2464">
        <w:rPr>
          <w:rFonts w:eastAsia="Times New Roman"/>
        </w:rPr>
        <w:t>ely</w:t>
      </w:r>
      <w:r w:rsidR="00E10BB9" w:rsidRPr="00FB2464">
        <w:rPr>
          <w:rFonts w:eastAsia="Times New Roman"/>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6"/>
      </w:tblGrid>
      <w:tr w:rsidR="00E233ED" w14:paraId="1DDD6E9A" w14:textId="77777777" w:rsidTr="008F0DA6">
        <w:trPr>
          <w:trHeight w:val="631"/>
        </w:trPr>
        <w:tc>
          <w:tcPr>
            <w:tcW w:w="8359" w:type="dxa"/>
            <w:vAlign w:val="center"/>
          </w:tcPr>
          <w:p w14:paraId="1DBD7E2E" w14:textId="77777777" w:rsidR="00E233ED" w:rsidRDefault="00094C8D" w:rsidP="005E5845">
            <w:pPr>
              <w:pStyle w:val="texto-REP"/>
              <w:rPr>
                <w:rFonts w:eastAsia="Times New Roman"/>
              </w:rPr>
            </w:pPr>
            <m:oMathPara>
              <m:oMath>
                <m:sSub>
                  <m:sSubPr>
                    <m:ctrlPr>
                      <w:rPr>
                        <w:rFonts w:ascii="Cambria Math" w:eastAsia="Times New Roman" w:hAnsi="Cambria Math"/>
                      </w:rPr>
                    </m:ctrlPr>
                  </m:sSubPr>
                  <m:e>
                    <m:r>
                      <w:rPr>
                        <w:rFonts w:ascii="Cambria Math" w:eastAsia="Times New Roman" w:hAnsi="Cambria Math"/>
                      </w:rPr>
                      <m:t>b</m:t>
                    </m:r>
                  </m:e>
                  <m:sub>
                    <m:r>
                      <w:rPr>
                        <w:rFonts w:ascii="Cambria Math" w:eastAsia="Times New Roman" w:hAnsi="Cambria Math"/>
                      </w:rPr>
                      <m:t>t</m:t>
                    </m:r>
                  </m:sub>
                </m:sSub>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f>
                          <m:fPr>
                            <m:ctrlPr>
                              <w:rPr>
                                <w:rFonts w:ascii="Cambria Math" w:eastAsia="Times New Roman" w:hAnsi="Cambria Math"/>
                              </w:rPr>
                            </m:ctrlPr>
                          </m:fPr>
                          <m:num>
                            <m:r>
                              <m:rPr>
                                <m:sty m:val="p"/>
                              </m:rPr>
                              <w:rPr>
                                <w:rFonts w:ascii="Cambria Math" w:eastAsia="Times New Roman" w:hAnsi="Cambria Math"/>
                              </w:rPr>
                              <m:t>1+</m:t>
                            </m:r>
                            <m:r>
                              <w:rPr>
                                <w:rFonts w:ascii="Cambria Math" w:eastAsia="Times New Roman" w:hAnsi="Cambria Math"/>
                              </w:rPr>
                              <m:t>i</m:t>
                            </m:r>
                          </m:num>
                          <m:den>
                            <m:r>
                              <m:rPr>
                                <m:sty m:val="p"/>
                              </m:rPr>
                              <w:rPr>
                                <w:rFonts w:ascii="Cambria Math" w:eastAsia="Times New Roman" w:hAnsi="Cambria Math"/>
                              </w:rPr>
                              <m:t>1+</m:t>
                            </m:r>
                            <m:r>
                              <w:rPr>
                                <w:rFonts w:ascii="Cambria Math" w:eastAsia="Times New Roman" w:hAnsi="Cambria Math"/>
                              </w:rPr>
                              <m:t>θ</m:t>
                            </m:r>
                          </m:den>
                        </m:f>
                        <m:r>
                          <m:rPr>
                            <m:sty m:val="p"/>
                          </m:rPr>
                          <w:rPr>
                            <w:rFonts w:ascii="Cambria Math" w:eastAsia="Times New Roman" w:hAnsi="Cambria Math"/>
                          </w:rPr>
                          <m:t>-</m:t>
                        </m:r>
                        <m:r>
                          <w:rPr>
                            <w:rFonts w:ascii="Cambria Math" w:eastAsia="Times New Roman" w:hAnsi="Cambria Math"/>
                          </w:rPr>
                          <m:t>ρ</m:t>
                        </m:r>
                      </m:e>
                    </m:d>
                  </m:e>
                  <m:sup>
                    <m:r>
                      <w:rPr>
                        <w:rFonts w:ascii="Cambria Math" w:eastAsia="Times New Roman" w:hAnsi="Cambria Math"/>
                      </w:rPr>
                      <m:t>t</m:t>
                    </m:r>
                  </m:sup>
                </m:sSup>
                <m:sSub>
                  <m:sSubPr>
                    <m:ctrlPr>
                      <w:rPr>
                        <w:rFonts w:ascii="Cambria Math" w:eastAsia="Times New Roman" w:hAnsi="Cambria Math"/>
                      </w:rPr>
                    </m:ctrlPr>
                  </m:sSubPr>
                  <m:e>
                    <m:r>
                      <w:rPr>
                        <w:rFonts w:ascii="Cambria Math" w:eastAsia="Times New Roman" w:hAnsi="Cambria Math"/>
                      </w:rPr>
                      <m:t>b</m:t>
                    </m:r>
                  </m:e>
                  <m:sub>
                    <m:r>
                      <m:rPr>
                        <m:sty m:val="p"/>
                      </m:rPr>
                      <w:rPr>
                        <w:rFonts w:ascii="Cambria Math" w:eastAsia="Times New Roman" w:hAnsi="Cambria Math"/>
                      </w:rPr>
                      <m:t>0</m:t>
                    </m:r>
                  </m:sub>
                </m:sSub>
              </m:oMath>
            </m:oMathPara>
          </w:p>
        </w:tc>
        <w:tc>
          <w:tcPr>
            <w:tcW w:w="706" w:type="dxa"/>
            <w:vAlign w:val="center"/>
          </w:tcPr>
          <w:p w14:paraId="099E6D8D" w14:textId="3DF92A27" w:rsidR="00E233ED" w:rsidRDefault="0080299F" w:rsidP="005E5845">
            <w:pPr>
              <w:pStyle w:val="texto-REP"/>
              <w:rPr>
                <w:rFonts w:eastAsia="Times New Roman"/>
              </w:rPr>
            </w:pPr>
            <w:r>
              <w:rPr>
                <w:rFonts w:eastAsia="Times New Roman"/>
              </w:rPr>
              <w:t>(</w:t>
            </w:r>
            <w:r w:rsidR="00E233ED">
              <w:rPr>
                <w:rFonts w:eastAsia="Times New Roman"/>
              </w:rPr>
              <w:t>8)</w:t>
            </w:r>
          </w:p>
        </w:tc>
      </w:tr>
    </w:tbl>
    <w:p w14:paraId="4586CC1B" w14:textId="77777777" w:rsidR="00B402E3" w:rsidRDefault="007A7CA0" w:rsidP="005E5845">
      <w:pPr>
        <w:pStyle w:val="texto-REP"/>
      </w:pPr>
      <w:r w:rsidRPr="00FB2464">
        <w:rPr>
          <w:rFonts w:eastAsia="Times New Roman"/>
        </w:rPr>
        <w:t xml:space="preserve">Under the </w:t>
      </w:r>
      <w:r w:rsidR="00A622BE">
        <w:rPr>
          <w:rFonts w:eastAsia="Times New Roman"/>
        </w:rPr>
        <w:t>approximation</w:t>
      </w:r>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1+i</m:t>
            </m:r>
          </m:num>
          <m:den>
            <m:r>
              <w:rPr>
                <w:rFonts w:ascii="Cambria Math" w:eastAsia="Times New Roman" w:hAnsi="Cambria Math"/>
              </w:rPr>
              <m:t>1+θ</m:t>
            </m:r>
          </m:den>
        </m:f>
        <m:r>
          <w:rPr>
            <w:rFonts w:ascii="Cambria Math" w:eastAsia="Times New Roman" w:hAnsi="Cambria Math"/>
          </w:rPr>
          <m:t>≅1+i-θ</m:t>
        </m:r>
      </m:oMath>
      <w:r w:rsidR="00A622BE">
        <w:rPr>
          <w:rFonts w:eastAsia="Times New Roman"/>
        </w:rPr>
        <w:t xml:space="preserve"> </w:t>
      </w:r>
      <w:r w:rsidR="00E4142A" w:rsidRPr="00FB2464">
        <w:rPr>
          <w:rFonts w:eastAsia="Times New Roman"/>
        </w:rPr>
        <w:t xml:space="preserve">, </w:t>
      </w:r>
      <w:r w:rsidR="00BA4E50" w:rsidRPr="00FB2464">
        <w:rPr>
          <w:rFonts w:eastAsia="Times New Roman"/>
        </w:rPr>
        <w:t>the debt sustainability condition implies</w:t>
      </w:r>
      <w:r w:rsidR="006A0C0A" w:rsidRPr="00FB2464">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6"/>
      </w:tblGrid>
      <w:tr w:rsidR="00A622BE" w14:paraId="668C3094" w14:textId="77777777" w:rsidTr="008F0DA6">
        <w:trPr>
          <w:trHeight w:val="499"/>
        </w:trPr>
        <w:tc>
          <w:tcPr>
            <w:tcW w:w="8359" w:type="dxa"/>
            <w:vAlign w:val="center"/>
          </w:tcPr>
          <w:p w14:paraId="40A7FB43" w14:textId="77777777" w:rsidR="00A622BE" w:rsidRDefault="00A622BE" w:rsidP="005E5845">
            <w:pPr>
              <w:pStyle w:val="texto-REP"/>
              <w:rPr>
                <w:rFonts w:eastAsia="Times New Roman"/>
              </w:rPr>
            </w:pPr>
            <m:oMathPara>
              <m:oMath>
                <m:r>
                  <w:rPr>
                    <w:rFonts w:ascii="Cambria Math" w:eastAsia="Times New Roman" w:hAnsi="Cambria Math"/>
                  </w:rPr>
                  <m:t>ρ</m:t>
                </m:r>
                <m:r>
                  <m:rPr>
                    <m:sty m:val="p"/>
                  </m:rPr>
                  <w:rPr>
                    <w:rFonts w:ascii="Cambria Math" w:eastAsia="Times New Roman" w:hAnsi="Cambria Math"/>
                  </w:rPr>
                  <m:t>&gt;</m:t>
                </m:r>
                <m:r>
                  <w:rPr>
                    <w:rFonts w:ascii="Cambria Math" w:eastAsia="Times New Roman" w:hAnsi="Cambria Math"/>
                  </w:rPr>
                  <m:t>i</m:t>
                </m:r>
                <m:r>
                  <m:rPr>
                    <m:sty m:val="p"/>
                  </m:rPr>
                  <w:rPr>
                    <w:rFonts w:ascii="Cambria Math" w:eastAsia="Times New Roman" w:hAnsi="Cambria Math"/>
                  </w:rPr>
                  <m:t>-</m:t>
                </m:r>
                <m:r>
                  <w:rPr>
                    <w:rFonts w:ascii="Cambria Math" w:eastAsia="Times New Roman" w:hAnsi="Cambria Math"/>
                  </w:rPr>
                  <m:t>θ</m:t>
                </m:r>
              </m:oMath>
            </m:oMathPara>
          </w:p>
        </w:tc>
        <w:tc>
          <w:tcPr>
            <w:tcW w:w="706" w:type="dxa"/>
            <w:vAlign w:val="center"/>
          </w:tcPr>
          <w:p w14:paraId="075F1A9A" w14:textId="27F398E7" w:rsidR="00A622BE" w:rsidRDefault="0080299F" w:rsidP="005E5845">
            <w:pPr>
              <w:pStyle w:val="texto-REP"/>
              <w:rPr>
                <w:rFonts w:eastAsia="Times New Roman"/>
              </w:rPr>
            </w:pPr>
            <w:r>
              <w:rPr>
                <w:rFonts w:eastAsia="Times New Roman"/>
              </w:rPr>
              <w:t>(</w:t>
            </w:r>
            <w:r w:rsidR="00FA41FE">
              <w:rPr>
                <w:rFonts w:eastAsia="Times New Roman"/>
              </w:rPr>
              <w:t>9</w:t>
            </w:r>
            <w:r w:rsidR="00A622BE">
              <w:rPr>
                <w:rFonts w:eastAsia="Times New Roman"/>
              </w:rPr>
              <w:t>)</w:t>
            </w:r>
          </w:p>
        </w:tc>
      </w:tr>
    </w:tbl>
    <w:p w14:paraId="2B30852B" w14:textId="77777777" w:rsidR="00A622BE" w:rsidRPr="00FB2464" w:rsidRDefault="00A622BE" w:rsidP="005E5845">
      <w:pPr>
        <w:pStyle w:val="texto-REP"/>
        <w:rPr>
          <w:rFonts w:eastAsia="Times New Roman"/>
        </w:rPr>
      </w:pPr>
    </w:p>
    <w:p w14:paraId="20CEC434" w14:textId="77777777" w:rsidR="007226D7" w:rsidRPr="00F67047" w:rsidRDefault="00BE5A63" w:rsidP="00AF420A">
      <w:pPr>
        <w:pStyle w:val="SeoI-REP"/>
        <w:spacing w:beforeLines="60" w:before="144" w:afterLines="60" w:after="144"/>
        <w:jc w:val="both"/>
      </w:pPr>
      <w:r w:rsidRPr="00F67047">
        <w:t>Da</w:t>
      </w:r>
      <w:r w:rsidR="008D52A2" w:rsidRPr="00F67047">
        <w:t>ta</w:t>
      </w:r>
    </w:p>
    <w:p w14:paraId="3749B597" w14:textId="0AE8667B" w:rsidR="00DB7180" w:rsidRPr="00B05E35" w:rsidRDefault="00DB7180" w:rsidP="005E5845">
      <w:pPr>
        <w:pStyle w:val="texto-REP"/>
      </w:pPr>
      <w:r w:rsidRPr="00B05E35">
        <w:t xml:space="preserve">In this </w:t>
      </w:r>
      <w:r w:rsidR="00FE3D2A" w:rsidRPr="00B05E35">
        <w:t>paper,</w:t>
      </w:r>
      <w:r w:rsidRPr="00B05E35">
        <w:t xml:space="preserve"> w</w:t>
      </w:r>
      <w:r w:rsidR="00A54973" w:rsidRPr="00B05E35">
        <w:t>e used m</w:t>
      </w:r>
      <w:r w:rsidR="005E236A" w:rsidRPr="00B05E35">
        <w:t xml:space="preserve">onthly data from January </w:t>
      </w:r>
      <w:r w:rsidR="002C0E0E" w:rsidRPr="00B05E35">
        <w:t>2012</w:t>
      </w:r>
      <w:r w:rsidR="00BA4E50" w:rsidRPr="00B05E35">
        <w:t xml:space="preserve"> </w:t>
      </w:r>
      <w:r w:rsidR="005E236A" w:rsidRPr="00B05E35">
        <w:t xml:space="preserve">to </w:t>
      </w:r>
      <w:r w:rsidR="002C0E0E" w:rsidRPr="00B05E35">
        <w:t>Jun</w:t>
      </w:r>
      <w:r w:rsidR="005E236A" w:rsidRPr="00B05E35">
        <w:t xml:space="preserve"> 201</w:t>
      </w:r>
      <w:r w:rsidR="007901FF" w:rsidRPr="00B05E35">
        <w:t>8</w:t>
      </w:r>
      <w:r w:rsidR="008439CA" w:rsidRPr="00B05E35">
        <w:t>.</w:t>
      </w:r>
      <w:r w:rsidR="00DA1D75" w:rsidRPr="00B05E35">
        <w:t xml:space="preserve"> </w:t>
      </w:r>
      <w:r w:rsidR="00AA0D2B" w:rsidRPr="00B05E35">
        <w:t>T</w:t>
      </w:r>
      <w:r w:rsidR="005E236A" w:rsidRPr="00B05E35">
        <w:t xml:space="preserve">he concept of </w:t>
      </w:r>
      <w:r w:rsidRPr="00B05E35">
        <w:t xml:space="preserve">government considers not only the </w:t>
      </w:r>
      <w:r w:rsidR="005B24BD">
        <w:t>C</w:t>
      </w:r>
      <w:r w:rsidR="005B24BD" w:rsidRPr="00B05E35">
        <w:t xml:space="preserve">onsolidated </w:t>
      </w:r>
      <w:r w:rsidR="005B24BD">
        <w:t>P</w:t>
      </w:r>
      <w:r w:rsidR="005B24BD" w:rsidRPr="00B05E35">
        <w:t xml:space="preserve">ublic </w:t>
      </w:r>
      <w:r w:rsidR="005B24BD">
        <w:t>S</w:t>
      </w:r>
      <w:r w:rsidR="005B24BD" w:rsidRPr="00B05E35">
        <w:t xml:space="preserve">ector </w:t>
      </w:r>
      <w:r w:rsidR="008439CA" w:rsidRPr="00B05E35">
        <w:t>(federal, sta</w:t>
      </w:r>
      <w:r w:rsidR="005E236A" w:rsidRPr="00B05E35">
        <w:t xml:space="preserve">te, </w:t>
      </w:r>
      <w:r w:rsidR="00801393" w:rsidRPr="00B05E35">
        <w:t>and local</w:t>
      </w:r>
      <w:r w:rsidR="00A54973" w:rsidRPr="00B05E35">
        <w:t xml:space="preserve"> governments</w:t>
      </w:r>
      <w:r w:rsidR="008439CA" w:rsidRPr="00B05E35">
        <w:t xml:space="preserve">, </w:t>
      </w:r>
      <w:r w:rsidR="00AD1739" w:rsidRPr="00B05E35">
        <w:t>so</w:t>
      </w:r>
      <w:r w:rsidR="00A54973" w:rsidRPr="00B05E35">
        <w:t xml:space="preserve">cial </w:t>
      </w:r>
      <w:r w:rsidR="00AD1739" w:rsidRPr="00B05E35">
        <w:t>s</w:t>
      </w:r>
      <w:r w:rsidR="00A54973" w:rsidRPr="00B05E35">
        <w:t>ecurity</w:t>
      </w:r>
      <w:r w:rsidR="008439CA" w:rsidRPr="00B05E35">
        <w:t xml:space="preserve">, </w:t>
      </w:r>
      <w:r w:rsidR="005E236A" w:rsidRPr="00B05E35">
        <w:t>Central Bank and government-controlled companies</w:t>
      </w:r>
      <w:r w:rsidR="008439CA" w:rsidRPr="00B05E35">
        <w:t xml:space="preserve"> - exce</w:t>
      </w:r>
      <w:r w:rsidR="005E236A" w:rsidRPr="00B05E35">
        <w:t>p</w:t>
      </w:r>
      <w:r w:rsidR="00E109B3" w:rsidRPr="00B05E35">
        <w:t>t Petrobra</w:t>
      </w:r>
      <w:r w:rsidR="008439CA" w:rsidRPr="00B05E35">
        <w:t xml:space="preserve">s </w:t>
      </w:r>
      <w:r w:rsidR="005E236A" w:rsidRPr="00B05E35">
        <w:t>and</w:t>
      </w:r>
      <w:r w:rsidR="00801393" w:rsidRPr="00B05E35">
        <w:t xml:space="preserve"> </w:t>
      </w:r>
      <w:r w:rsidR="008439CA" w:rsidRPr="00B05E35">
        <w:t>Eletrobr</w:t>
      </w:r>
      <w:r w:rsidR="00E109B3" w:rsidRPr="00B05E35">
        <w:t>a</w:t>
      </w:r>
      <w:r w:rsidR="008439CA" w:rsidRPr="00B05E35">
        <w:t>s)</w:t>
      </w:r>
      <w:r w:rsidRPr="00B05E35">
        <w:t xml:space="preserve">, but also the </w:t>
      </w:r>
      <w:r w:rsidR="002C0E0E" w:rsidRPr="00B05E35">
        <w:t>General Government</w:t>
      </w:r>
      <w:r w:rsidRPr="00B05E35">
        <w:t xml:space="preserve"> (</w:t>
      </w:r>
      <w:r w:rsidR="005B24BD">
        <w:t>f</w:t>
      </w:r>
      <w:r w:rsidR="00801393" w:rsidRPr="00B05E35">
        <w:t>ederal, state</w:t>
      </w:r>
      <w:r w:rsidR="00AD1739" w:rsidRPr="00B05E35">
        <w:t xml:space="preserve"> </w:t>
      </w:r>
      <w:r w:rsidR="003A5F4F" w:rsidRPr="00B05E35">
        <w:t>and local governments, and social security</w:t>
      </w:r>
      <w:r w:rsidRPr="00B05E35">
        <w:t>)</w:t>
      </w:r>
      <w:r w:rsidR="008439CA" w:rsidRPr="00B05E35">
        <w:t>.</w:t>
      </w:r>
      <w:r w:rsidR="00FB2464" w:rsidRPr="00B05E35">
        <w:t xml:space="preserve"> </w:t>
      </w:r>
      <w:r w:rsidRPr="00B05E35">
        <w:t>This concerns both the debt and primary surplus figures.</w:t>
      </w:r>
    </w:p>
    <w:p w14:paraId="21C82C43" w14:textId="0002E327" w:rsidR="00F70C2C" w:rsidRPr="00B05E35" w:rsidRDefault="00DB7180" w:rsidP="005E5845">
      <w:pPr>
        <w:pStyle w:val="texto-REP"/>
      </w:pPr>
      <w:r w:rsidRPr="00B05E35">
        <w:t xml:space="preserve">For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801393" w:rsidRPr="00B05E35">
        <w:t xml:space="preserve"> </w:t>
      </w:r>
      <w:r w:rsidR="00A54973" w:rsidRPr="00B05E35">
        <w:t xml:space="preserve">we used </w:t>
      </w:r>
      <w:r w:rsidR="005E236A" w:rsidRPr="00B05E35">
        <w:t>the consolidated primary result of the public sector accumulated for the previous 12 months</w:t>
      </w:r>
      <w:r w:rsidR="00A54973" w:rsidRPr="00B05E35">
        <w:t xml:space="preserve">. This is </w:t>
      </w:r>
      <w:r w:rsidR="005E236A" w:rsidRPr="00B05E35">
        <w:t>the reference used in the Budget Guidelines Law</w:t>
      </w:r>
      <w:r w:rsidR="00801393" w:rsidRPr="00B05E35">
        <w:t xml:space="preserve"> </w:t>
      </w:r>
      <w:r w:rsidR="005E236A" w:rsidRPr="00B05E35">
        <w:t>for the elaboration of the annual primary</w:t>
      </w:r>
      <w:r w:rsidR="00AA0D2B" w:rsidRPr="00B05E35">
        <w:t>-</w:t>
      </w:r>
      <w:r w:rsidR="005E236A" w:rsidRPr="00B05E35">
        <w:t>income targets</w:t>
      </w:r>
      <w:r w:rsidR="008439CA" w:rsidRPr="00B05E35">
        <w:t xml:space="preserve">. </w:t>
      </w:r>
    </w:p>
    <w:p w14:paraId="1756C7FB" w14:textId="607CEBF7" w:rsidR="00313BD6" w:rsidRPr="00B05E35" w:rsidRDefault="00F07167" w:rsidP="005E5845">
      <w:pPr>
        <w:pStyle w:val="texto-REP"/>
      </w:pPr>
      <w:r w:rsidRPr="00B05E35">
        <w:t xml:space="preserve">To calculate </w:t>
      </w:r>
      <w:r w:rsidR="00987038" w:rsidRPr="00B05E35">
        <w:t xml:space="preserve">the </w:t>
      </w:r>
      <w:r w:rsidR="008D52A2" w:rsidRPr="00B05E35">
        <w:t xml:space="preserve">Debt-to-GDP </w:t>
      </w:r>
      <w:r w:rsidR="00CF57C7" w:rsidRPr="00B05E35">
        <w:t>r</w:t>
      </w:r>
      <w:r w:rsidR="008D52A2" w:rsidRPr="00B05E35">
        <w:t>atio</w:t>
      </w:r>
      <w:r w:rsidR="00FE3D2A">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oMath>
      <w:r w:rsidR="00AA5135" w:rsidRPr="00B05E35">
        <w:t xml:space="preserve"> </w:t>
      </w:r>
      <w:r w:rsidR="00987038" w:rsidRPr="00B05E35">
        <w:t>and</w:t>
      </w:r>
      <w:r w:rsidR="00801393" w:rsidRPr="00B05E35">
        <w:t xml:space="preserve"> </w:t>
      </w:r>
      <w:r w:rsidR="00AA5135" w:rsidRPr="00B05E35">
        <w:t>the primary surplus-to-GDP ratio</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oMath>
      <w:r w:rsidR="00AA5135" w:rsidRPr="00B05E35">
        <w:t xml:space="preserve"> it</w:t>
      </w:r>
      <w:r w:rsidR="002D320E" w:rsidRPr="00B05E35">
        <w:t xml:space="preserve"> was considered </w:t>
      </w:r>
      <w:r w:rsidR="00AA5135" w:rsidRPr="00B05E35">
        <w:t xml:space="preserve">that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313BD6" w:rsidRPr="00B05E35">
        <w:t xml:space="preserve"> = </w:t>
      </w:r>
      <w:r w:rsidR="002D320E" w:rsidRPr="00B05E35">
        <w:t>monthly nominal GD</w:t>
      </w:r>
      <w:r w:rsidR="00313BD6" w:rsidRPr="00B05E35">
        <w:t>P</w:t>
      </w:r>
      <w:r w:rsidR="002D320E" w:rsidRPr="00B05E35">
        <w:t xml:space="preserve"> estimated by the central bank</w:t>
      </w:r>
      <w:r w:rsidR="00313BD6" w:rsidRPr="00B05E35">
        <w:t xml:space="preserve"> - </w:t>
      </w:r>
      <w:r w:rsidR="002D320E" w:rsidRPr="00B05E35">
        <w:t xml:space="preserve">based on </w:t>
      </w:r>
      <w:r w:rsidR="00313BD6" w:rsidRPr="00B05E35">
        <w:t xml:space="preserve">IBGE </w:t>
      </w:r>
      <w:r w:rsidR="00104A56">
        <w:t xml:space="preserve">quarterly data - </w:t>
      </w:r>
      <w:r w:rsidR="00F369AE" w:rsidRPr="00B05E35">
        <w:t>also a</w:t>
      </w:r>
      <w:r w:rsidR="002D320E" w:rsidRPr="00B05E35">
        <w:t xml:space="preserve">ccumulated for </w:t>
      </w:r>
      <w:r w:rsidR="00313BD6" w:rsidRPr="00B05E35">
        <w:t>12 m</w:t>
      </w:r>
      <w:r w:rsidR="002D320E" w:rsidRPr="00B05E35">
        <w:t>onths</w:t>
      </w:r>
      <w:r w:rsidR="00AA0D2B" w:rsidRPr="00B05E35">
        <w:t xml:space="preserve"> </w:t>
      </w:r>
      <w:r w:rsidR="00AA5135" w:rsidRPr="00B05E35">
        <w:t>(</w:t>
      </w:r>
      <w:r w:rsidR="0019643B" w:rsidRPr="00B05E35">
        <w:t>accumulat</w:t>
      </w:r>
      <w:r w:rsidR="00AA5135" w:rsidRPr="00B05E35">
        <w:t>ing</w:t>
      </w:r>
      <w:r w:rsidR="0019643B" w:rsidRPr="00B05E35">
        <w:t xml:space="preserve"> variables attenuates the impact of seasonality</w:t>
      </w:r>
      <w:r w:rsidR="00AA5135" w:rsidRPr="00B05E35">
        <w:t>)</w:t>
      </w:r>
      <w:r w:rsidR="00922EBF" w:rsidRPr="00B05E35">
        <w:t>.</w:t>
      </w:r>
    </w:p>
    <w:p w14:paraId="7742A027" w14:textId="4442C376" w:rsidR="00343DC1" w:rsidRPr="00B05E35" w:rsidRDefault="00343DC1" w:rsidP="005E5845">
      <w:pPr>
        <w:pStyle w:val="texto-REP"/>
      </w:pPr>
      <w:r w:rsidRPr="00B05E35">
        <w:t xml:space="preserve">Bohn (1998) </w:t>
      </w:r>
      <w:r w:rsidR="007E3BBB" w:rsidRPr="00B05E35">
        <w:t>suggests</w:t>
      </w:r>
      <w:r w:rsidR="00AB361D" w:rsidRPr="00B05E35">
        <w:t>,</w:t>
      </w:r>
      <w:r w:rsidR="007E3BBB" w:rsidRPr="00B05E35">
        <w:t xml:space="preserve"> as control variables</w:t>
      </w:r>
      <w:r w:rsidR="00AB361D" w:rsidRPr="00B05E35">
        <w:t>,</w:t>
      </w:r>
      <w:r w:rsidR="003906B9" w:rsidRPr="00B05E35">
        <w:t xml:space="preserve"> the output gap -</w:t>
      </w:r>
      <w:r w:rsidR="007E3BBB" w:rsidRPr="00B05E35">
        <w:t xml:space="preserve"> to capture the effect of os</w:t>
      </w:r>
      <w:r w:rsidR="003906B9" w:rsidRPr="00B05E35">
        <w:t>cillations in economic activity -</w:t>
      </w:r>
      <w:r w:rsidR="007E3BBB" w:rsidRPr="00B05E35">
        <w:t xml:space="preserve"> and a variable indicative of sudden rises in spending</w:t>
      </w:r>
      <w:r w:rsidR="002A27FF" w:rsidRPr="00B05E35">
        <w:t xml:space="preserve">. </w:t>
      </w:r>
      <w:r w:rsidR="003906B9" w:rsidRPr="00B05E35">
        <w:t>Both effects were considered. In order t</w:t>
      </w:r>
      <w:r w:rsidR="007C63B7" w:rsidRPr="00B05E35">
        <w:t xml:space="preserve">o </w:t>
      </w:r>
      <w:r w:rsidR="00C30D29" w:rsidRPr="00B05E35">
        <w:t>calcula</w:t>
      </w:r>
      <w:r w:rsidR="007C63B7" w:rsidRPr="00B05E35">
        <w:t>te</w:t>
      </w:r>
      <w:r w:rsidR="00801393" w:rsidRPr="00B05E35">
        <w:t xml:space="preserve"> </w:t>
      </w:r>
      <w:r w:rsidR="007C63B7" w:rsidRPr="00B05E35">
        <w:t>the</w:t>
      </w:r>
      <w:r w:rsidR="00801393" w:rsidRPr="00B05E35">
        <w:t xml:space="preserve"> </w:t>
      </w:r>
      <w:r w:rsidR="006517ED" w:rsidRPr="00B05E35">
        <w:t>output g</w:t>
      </w:r>
      <w:r w:rsidR="00EE47C7" w:rsidRPr="00B05E35">
        <w:t>ap</w:t>
      </w:r>
      <w:r w:rsidR="003906B9" w:rsidRPr="00B05E35">
        <w:t xml:space="preserve"> </w:t>
      </w:r>
      <w:r w:rsidR="00EE47C7" w:rsidRPr="00B05E35">
        <w:t xml:space="preserve">of period </w:t>
      </w:r>
      <m:oMath>
        <m:r>
          <w:rPr>
            <w:rFonts w:ascii="Cambria Math" w:hAnsi="Cambria Math"/>
          </w:rPr>
          <m:t>t</m:t>
        </m:r>
      </m:oMath>
      <w:r w:rsidR="00EE47C7" w:rsidRPr="00B05E35">
        <w:t xml:space="preserve"> </w:t>
      </w:r>
      <w:r w:rsidR="003906B9" w:rsidRPr="00B05E35">
        <w:t>w</w:t>
      </w:r>
      <w:r w:rsidR="00A9701B" w:rsidRPr="00B05E35">
        <w:t>e used t</w:t>
      </w:r>
      <w:r w:rsidR="007C63B7" w:rsidRPr="00B05E35">
        <w:t>he monthly estimate</w:t>
      </w:r>
      <w:r w:rsidR="00AB2B97" w:rsidRPr="00B05E35">
        <w:t>d GDP</w:t>
      </w:r>
      <w:r w:rsidR="00EE47C7" w:rsidRPr="00B05E35">
        <w:t>,</w:t>
      </w:r>
      <m:oMath>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R</m:t>
            </m:r>
          </m:sup>
        </m:sSubSup>
      </m:oMath>
      <w:r w:rsidR="00FE3D2A">
        <w:t>,</w:t>
      </w:r>
      <w:r w:rsidR="00EE47C7" w:rsidRPr="00B05E35">
        <w:t xml:space="preserve"> </w:t>
      </w:r>
      <w:r w:rsidR="007C63B7" w:rsidRPr="00B05E35">
        <w:t xml:space="preserve">provided by </w:t>
      </w:r>
      <w:r w:rsidR="00A9701B" w:rsidRPr="00B05E35">
        <w:t xml:space="preserve">the </w:t>
      </w:r>
      <w:r w:rsidR="00C30D29" w:rsidRPr="00B05E35">
        <w:t>IBRE/FGV</w:t>
      </w:r>
      <w:r w:rsidR="007C63B7" w:rsidRPr="00B05E35">
        <w:t xml:space="preserve"> GDP monitor</w:t>
      </w:r>
      <w:r w:rsidR="002017E3" w:rsidRPr="00FA41FE">
        <w:rPr>
          <w:rStyle w:val="Refdenotaderodap"/>
        </w:rPr>
        <w:footnoteReference w:id="7"/>
      </w:r>
      <w:r w:rsidR="00A9701B" w:rsidRPr="00B05E35">
        <w:t>.</w:t>
      </w:r>
      <w:r w:rsidR="00FA41FE">
        <w:t xml:space="preserve"> </w:t>
      </w:r>
      <w:r w:rsidR="00A9701B" w:rsidRPr="00B05E35">
        <w:t>T</w:t>
      </w:r>
      <w:r w:rsidR="007C63B7" w:rsidRPr="00B05E35">
        <w:t xml:space="preserve">he potential </w:t>
      </w:r>
      <w:r w:rsidR="00FE3D2A">
        <w:t>GDP</w:t>
      </w:r>
      <w:r w:rsidR="0048371A">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A9701B" w:rsidRPr="00B05E35">
        <w:t xml:space="preserve"> was </w:t>
      </w:r>
      <w:r w:rsidR="00C30D29" w:rsidRPr="00B05E35">
        <w:t>obt</w:t>
      </w:r>
      <w:r w:rsidR="007C63B7" w:rsidRPr="00B05E35">
        <w:t>a</w:t>
      </w:r>
      <w:r w:rsidR="00C30D29" w:rsidRPr="00B05E35">
        <w:t>i</w:t>
      </w:r>
      <w:r w:rsidR="007C63B7" w:rsidRPr="00B05E35">
        <w:t xml:space="preserve">ned </w:t>
      </w:r>
      <w:r w:rsidR="00C30D29" w:rsidRPr="00B05E35">
        <w:t>via Hodrick-Prescott</w:t>
      </w:r>
      <w:r w:rsidR="007C63B7" w:rsidRPr="00B05E35">
        <w:t xml:space="preserve"> filter</w:t>
      </w:r>
      <w:r w:rsidR="002017E3" w:rsidRPr="00B05E35">
        <w:t xml:space="preserve">, </w:t>
      </w:r>
      <w:r w:rsidR="007C63B7" w:rsidRPr="00B05E35">
        <w:t xml:space="preserve">applying the </w:t>
      </w:r>
      <w:r w:rsidR="00975085" w:rsidRPr="00B05E35">
        <w:t>f</w:t>
      </w:r>
      <w:r w:rsidR="007C63B7" w:rsidRPr="00B05E35">
        <w:t>o</w:t>
      </w:r>
      <w:r w:rsidR="00975085" w:rsidRPr="00B05E35">
        <w:t>rmula:</w:t>
      </w:r>
      <w:r w:rsidR="0048371A">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num>
          <m:den>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den>
        </m:f>
      </m:oMath>
      <w:r w:rsidR="00AD28BE">
        <w:t>.</w:t>
      </w:r>
      <w:r w:rsidR="002017E3" w:rsidRPr="00B05E35">
        <w:t xml:space="preserve"> </w:t>
      </w:r>
      <w:r w:rsidR="00EE47C7" w:rsidRPr="00B05E35">
        <w:t>T</w:t>
      </w:r>
      <w:r w:rsidR="003906B9" w:rsidRPr="00B05E35">
        <w:t>o represent t</w:t>
      </w:r>
      <w:r w:rsidR="007C63B7" w:rsidRPr="00B05E35">
        <w:t xml:space="preserve">he cycles of sudden </w:t>
      </w:r>
      <w:r w:rsidR="00801393" w:rsidRPr="00B05E35">
        <w:t>rise in</w:t>
      </w:r>
      <w:r w:rsidR="00065DA1" w:rsidRPr="00B05E35">
        <w:t xml:space="preserve"> </w:t>
      </w:r>
      <w:r w:rsidR="00801393" w:rsidRPr="00B05E35">
        <w:t>expenditures, binary</w:t>
      </w:r>
      <w:r w:rsidR="003906B9" w:rsidRPr="00B05E35">
        <w:t xml:space="preserve"> </w:t>
      </w:r>
      <w:r w:rsidR="00801393" w:rsidRPr="00B05E35">
        <w:t>variables indicating</w:t>
      </w:r>
      <w:r w:rsidR="007C63B7" w:rsidRPr="00B05E35">
        <w:t xml:space="preserve"> </w:t>
      </w:r>
      <w:r w:rsidR="003906B9" w:rsidRPr="00B05E35">
        <w:t xml:space="preserve">the </w:t>
      </w:r>
      <w:r w:rsidR="007C63B7" w:rsidRPr="00B05E35">
        <w:t xml:space="preserve">election </w:t>
      </w:r>
      <w:r w:rsidR="00801393" w:rsidRPr="00B05E35">
        <w:t>years were</w:t>
      </w:r>
      <w:r w:rsidR="003906B9" w:rsidRPr="00B05E35">
        <w:t xml:space="preserve"> used</w:t>
      </w:r>
      <w:r w:rsidR="00065DA1" w:rsidRPr="00B05E35">
        <w:t>.</w:t>
      </w:r>
    </w:p>
    <w:p w14:paraId="5206EC4E" w14:textId="77777777" w:rsidR="00E0442A" w:rsidRPr="00B05E35" w:rsidRDefault="009C65CD" w:rsidP="005E5845">
      <w:pPr>
        <w:pStyle w:val="texto-REP"/>
      </w:pPr>
      <w:r w:rsidRPr="00B05E35">
        <w:lastRenderedPageBreak/>
        <w:t xml:space="preserve">We list below some controls </w:t>
      </w:r>
      <w:r w:rsidR="007C63B7" w:rsidRPr="00B05E35">
        <w:t xml:space="preserve">important for </w:t>
      </w:r>
      <w:r w:rsidRPr="00B05E35">
        <w:t xml:space="preserve">the </w:t>
      </w:r>
      <w:r w:rsidR="007C63B7" w:rsidRPr="00B05E35">
        <w:t>Brazil</w:t>
      </w:r>
      <w:r w:rsidRPr="00B05E35">
        <w:t>ian case:</w:t>
      </w:r>
      <w:r w:rsidR="00836C55" w:rsidRPr="00AD28BE">
        <w:rPr>
          <w:rStyle w:val="Refdenotaderodap"/>
        </w:rPr>
        <w:footnoteReference w:id="8"/>
      </w:r>
    </w:p>
    <w:p w14:paraId="6EA45B27" w14:textId="3B805BF1" w:rsidR="00190B0E" w:rsidRPr="00B05E35" w:rsidRDefault="00094C8D" w:rsidP="005E5845">
      <w:pPr>
        <w:pStyle w:val="texto-REP"/>
      </w:pP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801393" w:rsidRPr="00B05E35">
        <w:t>: basic</w:t>
      </w:r>
      <w:r w:rsidR="007C63B7" w:rsidRPr="00B05E35">
        <w:t xml:space="preserve"> interest rate</w:t>
      </w:r>
      <w:r w:rsidR="007526D1" w:rsidRPr="00B05E35">
        <w:t xml:space="preserve"> (</w:t>
      </w:r>
      <w:r w:rsidR="00151602" w:rsidRPr="00B05E35">
        <w:t>S</w:t>
      </w:r>
      <w:r w:rsidR="007526D1" w:rsidRPr="00B05E35">
        <w:t>elic)</w:t>
      </w:r>
      <w:r w:rsidR="003906B9" w:rsidRPr="00B05E35">
        <w:t>;</w:t>
      </w:r>
    </w:p>
    <w:p w14:paraId="3249D9CF" w14:textId="0D90A394" w:rsidR="00190B0E" w:rsidRPr="00B05E35" w:rsidRDefault="00094C8D" w:rsidP="005E5845">
      <w:pPr>
        <w:pStyle w:val="texto-REP"/>
      </w:pP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sidR="0073515C" w:rsidRPr="00B05E35">
        <w:t>:</w:t>
      </w:r>
      <w:r w:rsidR="00F14349">
        <w:t xml:space="preserve"> </w:t>
      </w:r>
      <w:r w:rsidR="00065DA1" w:rsidRPr="00B05E35">
        <w:t>i</w:t>
      </w:r>
      <w:r w:rsidR="007C63B7" w:rsidRPr="00B05E35">
        <w:t>mplicit interest rate</w:t>
      </w:r>
      <w:r w:rsidR="00130C47" w:rsidRPr="008F0DA6">
        <w:rPr>
          <w:rStyle w:val="Refdenotaderodap"/>
        </w:rPr>
        <w:footnoteReference w:id="9"/>
      </w:r>
      <w:r w:rsidR="003906B9" w:rsidRPr="00B05E35">
        <w:t>;</w:t>
      </w:r>
    </w:p>
    <w:p w14:paraId="5635B0BE" w14:textId="0C25A1F9" w:rsidR="00190B0E" w:rsidRPr="00B05E35" w:rsidRDefault="00094C8D" w:rsidP="005E5845">
      <w:pPr>
        <w:pStyle w:val="texto-REP"/>
      </w:pP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73515C" w:rsidRPr="00B05E35">
        <w:t>:</w:t>
      </w:r>
      <w:r w:rsidR="00EE47C7" w:rsidRPr="00B05E35">
        <w:t xml:space="preserve"> </w:t>
      </w:r>
      <w:r w:rsidR="00065DA1" w:rsidRPr="00B05E35">
        <w:t>d</w:t>
      </w:r>
      <w:r w:rsidR="009D6441" w:rsidRPr="00B05E35">
        <w:t>ebt Risk</w:t>
      </w:r>
      <w:r w:rsidR="008C3689" w:rsidRPr="00B05E35">
        <w:t>-</w:t>
      </w:r>
      <w:r w:rsidR="0073515C" w:rsidRPr="00B05E35">
        <w:t>m</w:t>
      </w:r>
      <w:r w:rsidR="007C63B7" w:rsidRPr="00B05E35">
        <w:t xml:space="preserve">easure of risk perception associated with debt insolvency, calculated as a ratio between EMBI+ (monthly average) and the rating risk </w:t>
      </w:r>
      <w:r w:rsidR="008F0DA6">
        <w:t>assigned by Standard &amp;Poors</w:t>
      </w:r>
      <w:r w:rsidR="002D094D" w:rsidRPr="008F0DA6">
        <w:rPr>
          <w:rStyle w:val="Refdenotaderodap"/>
        </w:rPr>
        <w:footnoteReference w:id="10"/>
      </w:r>
      <w:r w:rsidR="003906B9" w:rsidRPr="00B05E35">
        <w:t>;</w:t>
      </w:r>
    </w:p>
    <w:p w14:paraId="64CA3AFE" w14:textId="098A01E5" w:rsidR="00190B0E" w:rsidRPr="00B05E35" w:rsidRDefault="00094C8D" w:rsidP="005E5845">
      <w:pPr>
        <w:pStyle w:val="texto-REP"/>
      </w:pP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801393" w:rsidRPr="00B05E35">
        <w:t>: inflation</w:t>
      </w:r>
      <w:r w:rsidR="0071205E" w:rsidRPr="00B05E35">
        <w:t xml:space="preserve"> - </w:t>
      </w:r>
      <w:r w:rsidR="007C63B7" w:rsidRPr="00B05E35">
        <w:t xml:space="preserve">monthly series obtained as IPCA relative variation for </w:t>
      </w:r>
      <w:r w:rsidR="00D03B05" w:rsidRPr="00B05E35">
        <w:t xml:space="preserve">the </w:t>
      </w:r>
      <w:r w:rsidR="007C63B7" w:rsidRPr="00B05E35">
        <w:t>previous 12 months</w:t>
      </w:r>
      <w:r w:rsidR="003906B9" w:rsidRPr="00B05E35">
        <w:t>;</w:t>
      </w:r>
    </w:p>
    <w:p w14:paraId="70374CA0" w14:textId="756CB53E" w:rsidR="006866FE" w:rsidRPr="00B05E35" w:rsidRDefault="00D17902" w:rsidP="005E5845">
      <w:pPr>
        <w:pStyle w:val="texto-REP"/>
      </w:pPr>
      <w:r w:rsidRPr="00B05E35">
        <w:t xml:space="preserve">To estimate the </w:t>
      </w:r>
      <w:r w:rsidR="0073515C" w:rsidRPr="00B05E35">
        <w:t>reaction function</w:t>
      </w:r>
      <w:r w:rsidRPr="00B05E35">
        <w:t xml:space="preserve"> </w:t>
      </w:r>
      <w:r w:rsidR="0080299F">
        <w:t>(</w:t>
      </w:r>
      <w:r w:rsidR="00D17DA2" w:rsidRPr="00B05E35">
        <w:t xml:space="preserve">6) </w:t>
      </w:r>
      <w:r w:rsidRPr="00B05E35">
        <w:t xml:space="preserve">proposed by Bohn (1998), </w:t>
      </w:r>
      <w:r w:rsidR="00DB7180" w:rsidRPr="00B05E35">
        <w:t xml:space="preserve">we allow </w:t>
      </w:r>
      <w:r w:rsidR="00190B0E" w:rsidRPr="00B05E35">
        <w:t xml:space="preserve">the </w:t>
      </w:r>
      <w:r w:rsidR="003C3D07" w:rsidRPr="00B05E35">
        <w:t>coefficients</w:t>
      </w:r>
      <w:r w:rsidR="00190B0E" w:rsidRPr="00B05E35">
        <w:t xml:space="preserve"> of the </w:t>
      </w:r>
      <w:r w:rsidR="00801393" w:rsidRPr="00B05E35">
        <w:t>function to</w:t>
      </w:r>
      <w:r w:rsidR="00DB7180" w:rsidRPr="00B05E35">
        <w:t xml:space="preserve"> </w:t>
      </w:r>
      <w:r w:rsidRPr="00B05E35">
        <w:t xml:space="preserve">vary over time, </w:t>
      </w:r>
      <w:r w:rsidR="00DB7180" w:rsidRPr="00B05E35">
        <w:t>making possible to incorporate in the analysis</w:t>
      </w:r>
      <w:r w:rsidRPr="00B05E35">
        <w:t xml:space="preserve"> structural changes and </w:t>
      </w:r>
      <w:r w:rsidR="00AB2B97" w:rsidRPr="00B05E35">
        <w:t>discretionary policy</w:t>
      </w:r>
      <w:r w:rsidR="00DB7180" w:rsidRPr="00B05E35">
        <w:t>. Additional t</w:t>
      </w:r>
      <w:r w:rsidR="006D1868" w:rsidRPr="00B05E35">
        <w:t>echnical details regarding the estimations can be obtained in Campos and</w:t>
      </w:r>
      <w:r w:rsidR="00FE3D2A">
        <w:t xml:space="preserve"> Cysne (2018).</w:t>
      </w:r>
    </w:p>
    <w:p w14:paraId="071BE5F5" w14:textId="77777777" w:rsidR="00423BE0" w:rsidRDefault="00423BE0" w:rsidP="00AF420A">
      <w:pPr>
        <w:pStyle w:val="SeoI-REP"/>
        <w:spacing w:beforeLines="60" w:before="144" w:afterLines="60" w:after="144"/>
        <w:jc w:val="both"/>
      </w:pPr>
    </w:p>
    <w:p w14:paraId="14837A62" w14:textId="78AFB0BB" w:rsidR="00946F77" w:rsidRPr="00A9519B" w:rsidRDefault="00AF760F" w:rsidP="00AF420A">
      <w:pPr>
        <w:pStyle w:val="SeoI-REP"/>
        <w:spacing w:beforeLines="60" w:before="144" w:afterLines="60" w:after="144"/>
        <w:jc w:val="both"/>
      </w:pPr>
      <w:r w:rsidRPr="00920724">
        <w:t>Result</w:t>
      </w:r>
      <w:r w:rsidR="007A718C" w:rsidRPr="00920724">
        <w:t>s</w:t>
      </w:r>
      <w:r w:rsidR="00655A05">
        <w:rPr>
          <w:rStyle w:val="Refdenotaderodap"/>
        </w:rPr>
        <w:footnoteReference w:id="11"/>
      </w:r>
    </w:p>
    <w:p w14:paraId="12FAB694" w14:textId="77777777" w:rsidR="0084394F" w:rsidRPr="00A9519B" w:rsidRDefault="00DB7180" w:rsidP="00AF420A">
      <w:pPr>
        <w:pStyle w:val="Seo2-REP"/>
        <w:spacing w:beforeLines="60" w:before="144" w:afterLines="60" w:after="144"/>
        <w:jc w:val="both"/>
      </w:pPr>
      <w:r>
        <w:t>The Fiscal</w:t>
      </w:r>
      <w:r w:rsidR="00920724">
        <w:t>-</w:t>
      </w:r>
      <w:r>
        <w:t>Reaction Function</w:t>
      </w:r>
    </w:p>
    <w:p w14:paraId="373B0F5A" w14:textId="10B04285" w:rsidR="00AD1739" w:rsidRDefault="00AD1739" w:rsidP="005E5845">
      <w:pPr>
        <w:pStyle w:val="texto-REP"/>
      </w:pPr>
      <w:r w:rsidRPr="00B05E35">
        <w:t>The fiscal</w:t>
      </w:r>
      <w:r w:rsidR="00897EBA" w:rsidRPr="00B05E35">
        <w:t>-</w:t>
      </w:r>
      <w:r w:rsidRPr="00B05E35">
        <w:t>reaction function (</w:t>
      </w:r>
      <w:r w:rsidR="00483775">
        <w:t>Consolidated Public Sector</w:t>
      </w:r>
      <w:r w:rsidRPr="00FE3D2A">
        <w:rPr>
          <w:rStyle w:val="Refdenotaderodap"/>
        </w:rPr>
        <w:footnoteReference w:id="12"/>
      </w:r>
      <w:r w:rsidRPr="00B05E35">
        <w:t>) estimated by the Kalman</w:t>
      </w:r>
      <w:r w:rsidR="0071052C" w:rsidRPr="00B05E35">
        <w:t>-</w:t>
      </w:r>
      <w:r w:rsidRPr="00B05E35">
        <w:t xml:space="preserve">Filter </w:t>
      </w:r>
      <w:r w:rsidR="00E23DF1" w:rsidRPr="00B05E35">
        <w:t xml:space="preserve">[Kalman (1960), Kalman and Bucy (1961)] </w:t>
      </w:r>
      <w:r w:rsidRPr="00B05E35">
        <w:t>for June 2018</w:t>
      </w:r>
      <w:r w:rsidR="00897EBA" w:rsidRPr="00B05E35">
        <w:t xml:space="preserve"> (last point of the sample) is given below</w:t>
      </w:r>
      <w:r w:rsidRPr="00B05E35">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38"/>
      </w:tblGrid>
      <w:tr w:rsidR="004E7387" w14:paraId="0DE42290" w14:textId="77777777" w:rsidTr="00DA6CD5">
        <w:trPr>
          <w:trHeight w:val="416"/>
        </w:trPr>
        <w:tc>
          <w:tcPr>
            <w:tcW w:w="8359" w:type="dxa"/>
            <w:vAlign w:val="center"/>
          </w:tcPr>
          <w:p w14:paraId="733E9C31" w14:textId="4028B665" w:rsidR="004E7387" w:rsidRDefault="00094C8D" w:rsidP="005E5845">
            <w:pPr>
              <w:pStyle w:val="texto-REP"/>
            </w:pPr>
            <m:oMathPara>
              <m:oMath>
                <m:sSub>
                  <m:sSubPr>
                    <m:ctrlPr>
                      <w:rPr>
                        <w:rFonts w:ascii="Cambria Math" w:hAnsi="Cambria Math"/>
                      </w:rPr>
                    </m:ctrlPr>
                  </m:sSubPr>
                  <m:e>
                    <m:r>
                      <m:rPr>
                        <m:sty m:val="p"/>
                      </m:rPr>
                      <w:rPr>
                        <w:rFonts w:ascii="Cambria Math" w:hAnsi="Cambria Math"/>
                      </w:rPr>
                      <m:t>s</m:t>
                    </m:r>
                  </m:e>
                  <m:sub>
                    <m:r>
                      <w:rPr>
                        <w:rFonts w:ascii="Cambria Math" w:hAnsi="Cambria Math"/>
                      </w:rPr>
                      <m:t>t</m:t>
                    </m:r>
                  </m:sub>
                </m:sSub>
                <m:r>
                  <m:rPr>
                    <m:sty m:val="p"/>
                  </m:rPr>
                  <w:rPr>
                    <w:rFonts w:ascii="Cambria Math" w:hAnsi="Cambria Math"/>
                  </w:rPr>
                  <m:t>=0.021+0.947</m:t>
                </m:r>
                <m:sSub>
                  <m:sSubPr>
                    <m:ctrlPr>
                      <w:rPr>
                        <w:rFonts w:ascii="Cambria Math" w:hAnsi="Cambria Math"/>
                      </w:rPr>
                    </m:ctrlPr>
                  </m:sSubPr>
                  <m:e>
                    <m:r>
                      <m:rPr>
                        <m:sty m:val="p"/>
                      </m:rP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-0.027</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r>
                  <m:rPr>
                    <m:sty m:val="p"/>
                  </m:rPr>
                  <w:rPr>
                    <w:rFonts w:ascii="Cambria Math" w:hAnsi="Cambria Math"/>
                  </w:rPr>
                  <m:t>+0.029</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-0.011</m:t>
                </m:r>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t</m:t>
                    </m:r>
                  </m:sub>
                </m:sSub>
              </m:oMath>
            </m:oMathPara>
          </w:p>
        </w:tc>
        <w:tc>
          <w:tcPr>
            <w:tcW w:w="638" w:type="dxa"/>
            <w:vAlign w:val="center"/>
          </w:tcPr>
          <w:p w14:paraId="43FAF70A" w14:textId="54F4A6E1" w:rsidR="004E7387" w:rsidRDefault="003A6129">
            <w:pPr>
              <w:pStyle w:val="texto-REP"/>
            </w:pPr>
            <w:r>
              <w:t>(</w:t>
            </w:r>
            <w:r w:rsidR="00AF415B">
              <w:t>10</w:t>
            </w:r>
            <w:r>
              <w:t>)</w:t>
            </w:r>
          </w:p>
        </w:tc>
      </w:tr>
    </w:tbl>
    <w:p w14:paraId="5C0582A6" w14:textId="522F3984" w:rsidR="00C33841" w:rsidRPr="00B05E35" w:rsidRDefault="00C33841" w:rsidP="005E5845">
      <w:pPr>
        <w:pStyle w:val="texto-REP"/>
      </w:pPr>
      <w:r w:rsidRPr="00B05E35">
        <w:t>This indicates that</w:t>
      </w:r>
      <w:r w:rsidR="00897EBA" w:rsidRPr="00B05E35">
        <w:t xml:space="preserve"> in this month</w:t>
      </w:r>
      <w:r w:rsidRPr="00B05E35">
        <w:t>, given the value of GDP</w:t>
      </w:r>
      <w:r w:rsidR="00536557" w:rsidRPr="00B05E35">
        <w:t>,</w:t>
      </w:r>
      <w:r w:rsidRPr="00B05E35">
        <w:t xml:space="preserve"> a debt increase of 1% of GDP </w:t>
      </w:r>
      <w:r w:rsidR="0071052C" w:rsidRPr="00B05E35">
        <w:t xml:space="preserve">roughly </w:t>
      </w:r>
      <w:r w:rsidRPr="00B05E35">
        <w:t xml:space="preserve">corresponds to </w:t>
      </w:r>
      <w:r w:rsidR="00801393" w:rsidRPr="00B05E35">
        <w:t>a reduction</w:t>
      </w:r>
      <w:r w:rsidRPr="00B05E35">
        <w:t xml:space="preserve"> in the primary surplus of</w:t>
      </w:r>
      <w:r w:rsidR="00DC3008" w:rsidRPr="00B05E35">
        <w:t xml:space="preserve"> around</w:t>
      </w:r>
      <w:r w:rsidR="0071052C" w:rsidRPr="00B05E35">
        <w:t xml:space="preserve"> </w:t>
      </w:r>
      <w:r w:rsidR="00DA6CD5">
        <w:t>– 0.</w:t>
      </w:r>
      <w:r w:rsidR="003873FA" w:rsidRPr="00B05E35">
        <w:t>0</w:t>
      </w:r>
      <w:r w:rsidRPr="00B05E35">
        <w:t>27</w:t>
      </w:r>
      <w:r w:rsidR="003873FA" w:rsidRPr="00B05E35">
        <w:t xml:space="preserve"> </w:t>
      </w:r>
      <w:r w:rsidRPr="00B05E35">
        <w:t>%</w:t>
      </w:r>
      <w:r w:rsidR="003873FA" w:rsidRPr="00B05E35">
        <w:t xml:space="preserve"> of</w:t>
      </w:r>
      <w:r w:rsidRPr="00B05E35">
        <w:t xml:space="preserve"> GDP, a negative fiscal reaction. This fact can be </w:t>
      </w:r>
      <w:r w:rsidR="00897EBA" w:rsidRPr="00B05E35">
        <w:t xml:space="preserve">inferred from </w:t>
      </w:r>
      <w:r w:rsidRPr="00B05E35">
        <w:t xml:space="preserve">figures 1 and </w:t>
      </w:r>
      <w:r w:rsidR="005118E8" w:rsidRPr="00B05E35">
        <w:t>2</w:t>
      </w:r>
      <w:r w:rsidRPr="00B05E35">
        <w:t xml:space="preserve"> and by the evolution of the tax reaction coefficient over the study period, which will be presented in </w:t>
      </w:r>
      <w:r w:rsidR="005118E8">
        <w:t>the next section.</w:t>
      </w:r>
    </w:p>
    <w:p w14:paraId="5A71FA49" w14:textId="4D866343" w:rsidR="00E0442A" w:rsidRPr="00B05E35" w:rsidRDefault="00BE18FA" w:rsidP="005E5845">
      <w:pPr>
        <w:pStyle w:val="texto-REP"/>
      </w:pPr>
      <w:r w:rsidRPr="00B05E35">
        <w:t xml:space="preserve">The lagged surplus coefficient </w:t>
      </w:r>
      <w:r w:rsidR="005115F8" w:rsidRPr="00B05E35">
        <w:t>(</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5115F8" w:rsidRPr="00B05E35">
        <w:t>)</w:t>
      </w:r>
      <w:r w:rsidR="007832D8" w:rsidRPr="00B05E35">
        <w:t xml:space="preserve"> </w:t>
      </w:r>
      <w:r w:rsidRPr="00B05E35">
        <w:t>is</w:t>
      </w:r>
      <w:r w:rsidR="00412CFF" w:rsidRPr="00B05E35">
        <w:t xml:space="preserve"> significant</w:t>
      </w:r>
      <w:r w:rsidRPr="00B05E35">
        <w:t xml:space="preserve">, indicating a strong inertial component of the primary outcome series, as </w:t>
      </w:r>
      <w:r w:rsidR="00801393" w:rsidRPr="00B05E35">
        <w:t>expected. The</w:t>
      </w:r>
      <w:r w:rsidRPr="00B05E35">
        <w:t xml:space="preserve"> </w:t>
      </w:r>
      <w:r w:rsidR="006517ED" w:rsidRPr="00B05E35">
        <w:t>output</w:t>
      </w:r>
      <w:r w:rsidR="007832D8" w:rsidRPr="00B05E35">
        <w:t>-</w:t>
      </w:r>
      <w:r w:rsidR="00801393" w:rsidRPr="00B05E35">
        <w:t>gap coefficient</w:t>
      </w:r>
      <w:r w:rsidRPr="00B05E35">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801393" w:rsidRPr="00B05E35">
        <w:t xml:space="preserve"> </w:t>
      </w:r>
      <w:r w:rsidRPr="00B05E35">
        <w:t>is</w:t>
      </w:r>
      <w:r w:rsidR="00801393" w:rsidRPr="00B05E35">
        <w:t xml:space="preserve"> </w:t>
      </w:r>
      <w:r w:rsidR="005115F8" w:rsidRPr="00B05E35">
        <w:t>positiv</w:t>
      </w:r>
      <w:r w:rsidRPr="00B05E35">
        <w:t>e</w:t>
      </w:r>
      <w:r w:rsidR="00801393" w:rsidRPr="00B05E35">
        <w:t xml:space="preserve"> </w:t>
      </w:r>
      <w:r w:rsidRPr="00B05E35">
        <w:t xml:space="preserve">and </w:t>
      </w:r>
      <w:r w:rsidR="00801393" w:rsidRPr="00B05E35">
        <w:t>significant, indicating</w:t>
      </w:r>
      <w:r w:rsidRPr="00B05E35">
        <w:t xml:space="preserve"> that, in periods </w:t>
      </w:r>
      <w:r w:rsidR="00701AE1" w:rsidRPr="00B05E35">
        <w:t>of expansion a</w:t>
      </w:r>
      <w:r w:rsidRPr="00B05E35">
        <w:t xml:space="preserve"> large</w:t>
      </w:r>
      <w:r w:rsidR="00701AE1" w:rsidRPr="00B05E35">
        <w:t>r</w:t>
      </w:r>
      <w:r w:rsidRPr="00B05E35">
        <w:t xml:space="preserve"> primary </w:t>
      </w:r>
      <w:r w:rsidR="00801393" w:rsidRPr="00B05E35">
        <w:t>surplus is</w:t>
      </w:r>
      <w:r w:rsidRPr="00B05E35">
        <w:t xml:space="preserve"> generated</w:t>
      </w:r>
      <w:r w:rsidR="00454A0A" w:rsidRPr="00B05E35">
        <w:t xml:space="preserve">, </w:t>
      </w:r>
      <w:r w:rsidRPr="00B05E35">
        <w:t xml:space="preserve">either by increasing revenues or reducing public spending (for example, unemployment insurance). </w:t>
      </w:r>
    </w:p>
    <w:p w14:paraId="619BB682" w14:textId="77777777" w:rsidR="00C33841" w:rsidRPr="00B05E35" w:rsidRDefault="00CC76D0" w:rsidP="005E5845">
      <w:pPr>
        <w:pStyle w:val="texto-REP"/>
      </w:pPr>
      <w:r w:rsidRPr="00B05E35">
        <w:t xml:space="preserve">The </w:t>
      </w:r>
      <w:r w:rsidR="00673E5A" w:rsidRPr="00B05E35">
        <w:t xml:space="preserve">coefficient for the </w:t>
      </w:r>
      <w:r w:rsidRPr="00B05E35">
        <w:t xml:space="preserve">inflation variable is not significant, which is in line with the </w:t>
      </w:r>
      <w:r w:rsidR="0073515C" w:rsidRPr="00B05E35">
        <w:t>fiscal reaction</w:t>
      </w:r>
      <w:r w:rsidRPr="00B05E35">
        <w:t xml:space="preserve"> literature for the case of Brazil in the post-stabilization period (1994). </w:t>
      </w:r>
    </w:p>
    <w:p w14:paraId="670F23AE" w14:textId="77777777" w:rsidR="005E5845" w:rsidRDefault="005E5845" w:rsidP="00AF420A">
      <w:pPr>
        <w:pStyle w:val="Seo2-REP"/>
        <w:spacing w:beforeLines="60" w:before="144" w:afterLines="60" w:after="144"/>
        <w:jc w:val="both"/>
      </w:pPr>
    </w:p>
    <w:p w14:paraId="2DB579F6" w14:textId="27258FEC" w:rsidR="00655A05" w:rsidRPr="00655A05" w:rsidRDefault="00741507" w:rsidP="00AF420A">
      <w:pPr>
        <w:pStyle w:val="Seo2-REP"/>
        <w:spacing w:beforeLines="60" w:before="144" w:afterLines="60" w:after="144"/>
        <w:jc w:val="both"/>
      </w:pPr>
      <w:r>
        <w:lastRenderedPageBreak/>
        <w:t xml:space="preserve">Evolution of the </w:t>
      </w:r>
      <w:r w:rsidR="00DC3008">
        <w:t>Fiscal-</w:t>
      </w:r>
      <w:r>
        <w:t>Reaction Coefficient</w:t>
      </w:r>
    </w:p>
    <w:p w14:paraId="261498F4" w14:textId="48B2F947" w:rsidR="001926E7" w:rsidRPr="00FB2464" w:rsidRDefault="0019643B" w:rsidP="005E5845">
      <w:pPr>
        <w:pStyle w:val="texto-REP"/>
      </w:pPr>
      <w:r w:rsidRPr="00FB2464">
        <w:t>Figure</w:t>
      </w:r>
      <w:r w:rsidR="00301295" w:rsidRPr="00FB2464">
        <w:t xml:space="preserve"> </w:t>
      </w:r>
      <w:r w:rsidR="00FB2464" w:rsidRPr="00FB2464">
        <w:t>3</w:t>
      </w:r>
      <w:r w:rsidR="00301295" w:rsidRPr="00FB2464">
        <w:t xml:space="preserve"> </w:t>
      </w:r>
      <w:r w:rsidRPr="00FB2464">
        <w:t xml:space="preserve">below </w:t>
      </w:r>
      <w:r w:rsidR="00801393" w:rsidRPr="00FB2464">
        <w:t>shows the</w:t>
      </w:r>
      <w:r w:rsidR="00CC76D0" w:rsidRPr="00FB2464">
        <w:t xml:space="preserve"> evolution of the </w:t>
      </w:r>
      <w:r w:rsidR="00E976C2" w:rsidRPr="00FB2464">
        <w:t xml:space="preserve">fiscal </w:t>
      </w:r>
      <w:r w:rsidR="00801393" w:rsidRPr="00FB2464">
        <w:t>reaction coefficient</w:t>
      </w:r>
      <w:r w:rsidR="00932783" w:rsidRPr="00FB2464">
        <w:t xml:space="preserve"> </w:t>
      </w:r>
      <w:r w:rsidR="0020091B" w:rsidRPr="00FB2464">
        <w:t>(</w:t>
      </w:r>
      <w:r w:rsidR="00483775">
        <w:t>Consolidated Public Sector</w:t>
      </w:r>
      <w:r w:rsidR="0020091B" w:rsidRPr="00FB2464">
        <w:t xml:space="preserve">) </w:t>
      </w:r>
      <w:r w:rsidR="00CC76D0" w:rsidRPr="00FB2464">
        <w:t>over time</w:t>
      </w:r>
      <w:r w:rsidR="00E0537F" w:rsidRPr="00FB2464">
        <w:t xml:space="preserve">, estimated by </w:t>
      </w:r>
      <w:r w:rsidR="00E36CEF" w:rsidRPr="00FB2464">
        <w:t>Kalman filter</w:t>
      </w:r>
      <w:r w:rsidR="0020091B" w:rsidRPr="00FB2464">
        <w:t>.</w:t>
      </w:r>
    </w:p>
    <w:p w14:paraId="7C9C8316" w14:textId="77777777" w:rsidR="008F0DA6" w:rsidRPr="00DA6CD5" w:rsidRDefault="008F0DA6" w:rsidP="00AF420A">
      <w:pPr>
        <w:spacing w:beforeLines="60" w:before="144" w:afterLines="60" w:after="144"/>
        <w:jc w:val="both"/>
        <w:rPr>
          <w:lang w:val="en-US"/>
        </w:rPr>
      </w:pPr>
    </w:p>
    <w:p w14:paraId="57307C86" w14:textId="0E958CEF" w:rsidR="00301295" w:rsidRPr="007809C5" w:rsidRDefault="001D7F32" w:rsidP="00FE3D2A">
      <w:pPr>
        <w:spacing w:beforeLines="60" w:before="144" w:afterLines="60" w:after="144"/>
        <w:jc w:val="center"/>
        <w:rPr>
          <w:b/>
          <w:sz w:val="20"/>
          <w:lang w:val="en-US"/>
        </w:rPr>
      </w:pPr>
      <w:r w:rsidRPr="007809C5">
        <w:rPr>
          <w:b/>
          <w:sz w:val="20"/>
          <w:lang w:val="en-US"/>
        </w:rPr>
        <w:t>Figure</w:t>
      </w:r>
      <w:r w:rsidR="00301295" w:rsidRPr="007809C5">
        <w:rPr>
          <w:b/>
          <w:sz w:val="20"/>
          <w:lang w:val="en-US"/>
        </w:rPr>
        <w:t xml:space="preserve"> </w:t>
      </w:r>
      <w:r w:rsidR="00FB2464" w:rsidRPr="007809C5">
        <w:rPr>
          <w:b/>
          <w:sz w:val="20"/>
          <w:lang w:val="en-US"/>
        </w:rPr>
        <w:t>3</w:t>
      </w:r>
      <w:r w:rsidR="007809C5">
        <w:rPr>
          <w:b/>
          <w:sz w:val="20"/>
          <w:lang w:val="en-US"/>
        </w:rPr>
        <w:t xml:space="preserve">. </w:t>
      </w:r>
      <w:r w:rsidR="00932783" w:rsidRPr="007809C5">
        <w:rPr>
          <w:b/>
          <w:sz w:val="20"/>
          <w:lang w:val="en-US"/>
        </w:rPr>
        <w:t xml:space="preserve">Estimated </w:t>
      </w:r>
      <w:r w:rsidR="00E976C2" w:rsidRPr="007809C5">
        <w:rPr>
          <w:b/>
          <w:sz w:val="20"/>
          <w:lang w:val="en-US"/>
        </w:rPr>
        <w:t>Fiscal Reaction</w:t>
      </w:r>
      <w:r w:rsidR="00523500" w:rsidRPr="007809C5">
        <w:rPr>
          <w:b/>
          <w:sz w:val="20"/>
          <w:lang w:val="en-US"/>
        </w:rPr>
        <w:t xml:space="preserve"> Coefficient </w:t>
      </w:r>
      <w:r w:rsidR="00536557" w:rsidRPr="007809C5">
        <w:rPr>
          <w:b/>
          <w:sz w:val="20"/>
          <w:lang w:val="en-US"/>
        </w:rPr>
        <w:t>(C</w:t>
      </w:r>
      <w:r w:rsidR="007832D8" w:rsidRPr="007809C5">
        <w:rPr>
          <w:b/>
          <w:sz w:val="20"/>
          <w:lang w:val="en-US"/>
        </w:rPr>
        <w:t>PS</w:t>
      </w:r>
      <w:r w:rsidR="00536557" w:rsidRPr="007809C5">
        <w:rPr>
          <w:b/>
          <w:sz w:val="20"/>
          <w:lang w:val="en-US"/>
        </w:rPr>
        <w:t>)</w:t>
      </w:r>
    </w:p>
    <w:p w14:paraId="7A260322" w14:textId="77777777" w:rsidR="00301295" w:rsidRDefault="00AF0D92" w:rsidP="00FE3D2A">
      <w:pPr>
        <w:spacing w:beforeLines="60" w:before="144" w:afterLines="60" w:after="144"/>
        <w:jc w:val="center"/>
        <w:rPr>
          <w:sz w:val="24"/>
        </w:rPr>
      </w:pPr>
      <w:r>
        <w:rPr>
          <w:noProof/>
          <w:lang w:eastAsia="pt-BR"/>
        </w:rPr>
        <w:drawing>
          <wp:inline distT="0" distB="0" distL="0" distR="0" wp14:anchorId="7B49E432" wp14:editId="5CC44ED8">
            <wp:extent cx="5048250" cy="3019425"/>
            <wp:effectExtent l="0" t="0" r="1905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0ECD45" w14:textId="77777777" w:rsidR="005E5845" w:rsidRDefault="005E5845" w:rsidP="005E5845">
      <w:pPr>
        <w:pStyle w:val="texto-REP"/>
      </w:pPr>
    </w:p>
    <w:p w14:paraId="178CEF64" w14:textId="1E86202E" w:rsidR="00F04B33" w:rsidRPr="00897EBA" w:rsidRDefault="00897EBA" w:rsidP="005E5845">
      <w:pPr>
        <w:pStyle w:val="texto-REP"/>
      </w:pPr>
      <w:r w:rsidRPr="00897EBA">
        <w:t>Note the negative sign of the fiscal reaction coef</w:t>
      </w:r>
      <w:r>
        <w:t>f</w:t>
      </w:r>
      <w:r w:rsidRPr="00897EBA">
        <w:t xml:space="preserve">icient as of </w:t>
      </w:r>
      <w:r w:rsidR="00F03060">
        <w:t>October</w:t>
      </w:r>
      <w:r w:rsidRPr="00897EBA">
        <w:t xml:space="preserve"> 2017</w:t>
      </w:r>
      <w:r>
        <w:t xml:space="preserve">. The average in the last 12 months of the sample was equal to </w:t>
      </w:r>
      <w:r w:rsidR="00F04B33" w:rsidRPr="00897EBA">
        <w:t>-0</w:t>
      </w:r>
      <w:r w:rsidR="00801393" w:rsidRPr="00897EBA">
        <w:t>, 0157</w:t>
      </w:r>
      <w:r w:rsidR="00F04B33" w:rsidRPr="00897EBA">
        <w:t>.</w:t>
      </w:r>
    </w:p>
    <w:p w14:paraId="14C8819C" w14:textId="53A4E0E4" w:rsidR="006914E9" w:rsidRDefault="006914E9" w:rsidP="00AF420A">
      <w:pPr>
        <w:pStyle w:val="Seo2-REP"/>
        <w:spacing w:beforeLines="60" w:before="144" w:afterLines="60" w:after="144"/>
        <w:jc w:val="both"/>
      </w:pPr>
      <w:r w:rsidRPr="009A0A7C">
        <w:t xml:space="preserve">Implications </w:t>
      </w:r>
      <w:r w:rsidR="005E5845">
        <w:t>Regarding Debt Sustainability</w:t>
      </w:r>
    </w:p>
    <w:p w14:paraId="6B20EC93" w14:textId="7051F22A" w:rsidR="00F04B33" w:rsidRDefault="00F04B33" w:rsidP="005E5845">
      <w:pPr>
        <w:pStyle w:val="texto-REP"/>
      </w:pPr>
      <w:r w:rsidRPr="00FB2464">
        <w:t xml:space="preserve">Table 1 summarize the </w:t>
      </w:r>
      <w:r w:rsidR="00897EBA" w:rsidRPr="00FB2464">
        <w:t xml:space="preserve">sustainability </w:t>
      </w:r>
      <w:r w:rsidRPr="00FB2464">
        <w:t>results</w:t>
      </w:r>
      <w:r w:rsidR="003A6129">
        <w:t xml:space="preserve">, based on condition </w:t>
      </w:r>
      <w:r w:rsidR="0080299F">
        <w:t>(</w:t>
      </w:r>
      <w:r w:rsidR="003A6129">
        <w:t>9</w:t>
      </w:r>
      <w:r w:rsidR="00897EBA" w:rsidRPr="00FB2464">
        <w:t>),</w:t>
      </w:r>
      <w:r w:rsidRPr="00FB2464">
        <w:t xml:space="preserve"> considering </w:t>
      </w:r>
      <w:r w:rsidR="007832D8" w:rsidRPr="00FB2464">
        <w:t xml:space="preserve">the </w:t>
      </w:r>
      <w:r w:rsidR="00897EBA" w:rsidRPr="00FB2464">
        <w:t xml:space="preserve">Selic and the implicit </w:t>
      </w:r>
      <w:r w:rsidRPr="00FB2464">
        <w:t>interest rate</w:t>
      </w:r>
      <w:r w:rsidR="007832D8" w:rsidRPr="00FB2464">
        <w:t xml:space="preserve"> on the net debt (calculated by the Central Bank) at</w:t>
      </w:r>
      <w:r w:rsidR="00F03060">
        <w:t xml:space="preserve"> different periods</w:t>
      </w:r>
      <w:r w:rsidR="007832D8" w:rsidRPr="00FB2464">
        <w:t xml:space="preserve">. </w:t>
      </w:r>
      <w:r w:rsidR="00AF415B">
        <w:t xml:space="preserve">The calculations using the implicit rate are </w:t>
      </w:r>
      <w:r w:rsidR="007A7EE1">
        <w:t xml:space="preserve">in </w:t>
      </w:r>
      <w:r w:rsidR="00AF415B">
        <w:t xml:space="preserve">brackets. </w:t>
      </w:r>
      <w:r w:rsidR="007A7EE1">
        <w:t xml:space="preserve">They are taken into consideration because we work with the net debt, rather than with gross debt (see footnote 3). </w:t>
      </w:r>
      <w:r w:rsidR="007832D8">
        <w:t xml:space="preserve">All rates </w:t>
      </w:r>
      <w:r w:rsidR="007A7EE1">
        <w:t xml:space="preserve">considered here </w:t>
      </w:r>
      <w:r w:rsidR="007832D8">
        <w:t>are logarithmic</w:t>
      </w:r>
      <w:r w:rsidR="007A7EE1">
        <w:t>, which allows for sums and subtractions to translate exact values</w:t>
      </w:r>
      <w:r w:rsidR="007832D8">
        <w:t>.</w:t>
      </w:r>
    </w:p>
    <w:p w14:paraId="36B1D680" w14:textId="10DF200F" w:rsidR="00462FF0" w:rsidRDefault="00462FF0">
      <w:pPr>
        <w:rPr>
          <w:rFonts w:eastAsiaTheme="minorEastAsia" w:cstheme="minorBidi"/>
          <w:color w:val="00000A"/>
          <w:kern w:val="22"/>
          <w:sz w:val="22"/>
          <w:szCs w:val="22"/>
          <w:lang w:val="en-GB" w:eastAsia="ar-SA"/>
        </w:rPr>
      </w:pPr>
      <w:r w:rsidRPr="00E829F5">
        <w:rPr>
          <w:lang w:val="en-US"/>
        </w:rPr>
        <w:br w:type="page"/>
      </w:r>
    </w:p>
    <w:p w14:paraId="5F7EC86F" w14:textId="5D51B71A" w:rsidR="003A6129" w:rsidRPr="005E5845" w:rsidRDefault="003A6129" w:rsidP="005E5845">
      <w:pPr>
        <w:pStyle w:val="texto-REP"/>
        <w:jc w:val="center"/>
        <w:rPr>
          <w:b/>
        </w:rPr>
      </w:pPr>
      <w:r w:rsidRPr="005E5845">
        <w:rPr>
          <w:b/>
        </w:rPr>
        <w:lastRenderedPageBreak/>
        <w:t>Table 1. Public Debt Sustain</w:t>
      </w:r>
      <w:r w:rsidR="00AF415B">
        <w:rPr>
          <w:b/>
        </w:rPr>
        <w:t>a</w:t>
      </w:r>
      <w:r w:rsidRPr="005E5845">
        <w:rPr>
          <w:b/>
        </w:rPr>
        <w:t>bility per Sub-Period (CPS)</w:t>
      </w:r>
    </w:p>
    <w:tbl>
      <w:tblPr>
        <w:tblW w:w="8943" w:type="dxa"/>
        <w:jc w:val="center"/>
        <w:tblCellMar>
          <w:left w:w="70" w:type="dxa"/>
          <w:right w:w="70" w:type="dxa"/>
        </w:tblCellMar>
        <w:tblLook w:val="04A0" w:firstRow="1" w:lastRow="0" w:firstColumn="1" w:lastColumn="0" w:noHBand="0" w:noVBand="1"/>
      </w:tblPr>
      <w:tblGrid>
        <w:gridCol w:w="2977"/>
        <w:gridCol w:w="1842"/>
        <w:gridCol w:w="2074"/>
        <w:gridCol w:w="2050"/>
      </w:tblGrid>
      <w:tr w:rsidR="00F04B33" w:rsidRPr="003A6129" w14:paraId="4B0207E2" w14:textId="77777777" w:rsidTr="003A6129">
        <w:trPr>
          <w:trHeight w:val="406"/>
          <w:jc w:val="center"/>
        </w:trPr>
        <w:tc>
          <w:tcPr>
            <w:tcW w:w="2977" w:type="dxa"/>
            <w:tcBorders>
              <w:top w:val="single" w:sz="4" w:space="0" w:color="auto"/>
              <w:bottom w:val="single" w:sz="4" w:space="0" w:color="auto"/>
            </w:tcBorders>
            <w:shd w:val="clear" w:color="000000" w:fill="FFFFFF"/>
            <w:noWrap/>
            <w:vAlign w:val="center"/>
            <w:hideMark/>
          </w:tcPr>
          <w:p w14:paraId="6B5D64D8" w14:textId="31191F3A" w:rsidR="00F04B33" w:rsidRPr="006A0603" w:rsidRDefault="003A6129" w:rsidP="00AF420A">
            <w:pPr>
              <w:spacing w:beforeLines="60" w:before="144" w:afterLines="60" w:after="144"/>
              <w:jc w:val="center"/>
              <w:rPr>
                <w:rFonts w:eastAsia="Times New Roman"/>
                <w:sz w:val="22"/>
                <w:szCs w:val="22"/>
                <w:lang w:val="en-US" w:eastAsia="pt-BR"/>
              </w:rPr>
            </w:pPr>
            <w:r>
              <w:rPr>
                <w:rFonts w:eastAsia="Times New Roman"/>
                <w:sz w:val="22"/>
                <w:szCs w:val="22"/>
                <w:lang w:val="en-US" w:eastAsia="pt-BR"/>
              </w:rPr>
              <w:t>Variables</w:t>
            </w:r>
          </w:p>
        </w:tc>
        <w:tc>
          <w:tcPr>
            <w:tcW w:w="1842" w:type="dxa"/>
            <w:tcBorders>
              <w:top w:val="single" w:sz="4" w:space="0" w:color="auto"/>
              <w:bottom w:val="single" w:sz="4" w:space="0" w:color="auto"/>
            </w:tcBorders>
            <w:shd w:val="clear" w:color="000000" w:fill="FFFFFF"/>
            <w:noWrap/>
            <w:vAlign w:val="center"/>
            <w:hideMark/>
          </w:tcPr>
          <w:p w14:paraId="78F2911A" w14:textId="77777777" w:rsidR="00F04B33" w:rsidRPr="003A6129" w:rsidRDefault="00F04B33" w:rsidP="00AF420A">
            <w:pPr>
              <w:spacing w:beforeLines="60" w:before="144" w:afterLines="60" w:after="144"/>
              <w:jc w:val="center"/>
              <w:rPr>
                <w:rFonts w:eastAsia="Times New Roman"/>
                <w:sz w:val="22"/>
                <w:szCs w:val="22"/>
                <w:lang w:val="en-US" w:eastAsia="pt-BR"/>
              </w:rPr>
            </w:pPr>
            <w:r w:rsidRPr="003A6129">
              <w:rPr>
                <w:rFonts w:eastAsia="Times New Roman"/>
                <w:sz w:val="22"/>
                <w:szCs w:val="22"/>
                <w:lang w:val="en-US" w:eastAsia="pt-BR"/>
              </w:rPr>
              <w:t>Jan /12 – Jun /14</w:t>
            </w:r>
          </w:p>
        </w:tc>
        <w:tc>
          <w:tcPr>
            <w:tcW w:w="2074" w:type="dxa"/>
            <w:tcBorders>
              <w:top w:val="single" w:sz="4" w:space="0" w:color="auto"/>
              <w:bottom w:val="single" w:sz="4" w:space="0" w:color="auto"/>
            </w:tcBorders>
            <w:shd w:val="clear" w:color="000000" w:fill="FFFFFF"/>
            <w:noWrap/>
            <w:vAlign w:val="center"/>
            <w:hideMark/>
          </w:tcPr>
          <w:p w14:paraId="0CB57C2C" w14:textId="77777777" w:rsidR="00F04B33" w:rsidRPr="003A6129" w:rsidRDefault="00801393" w:rsidP="00AF420A">
            <w:pPr>
              <w:spacing w:beforeLines="60" w:before="144" w:afterLines="60" w:after="144"/>
              <w:jc w:val="center"/>
              <w:rPr>
                <w:rFonts w:eastAsia="Times New Roman"/>
                <w:sz w:val="22"/>
                <w:szCs w:val="22"/>
                <w:lang w:val="en-US" w:eastAsia="pt-BR"/>
              </w:rPr>
            </w:pPr>
            <w:r w:rsidRPr="003A6129">
              <w:rPr>
                <w:rFonts w:eastAsia="Times New Roman"/>
                <w:sz w:val="22"/>
                <w:szCs w:val="22"/>
                <w:lang w:val="en-US" w:eastAsia="pt-BR"/>
              </w:rPr>
              <w:t>Jul /14 – J</w:t>
            </w:r>
            <w:r w:rsidR="00F04B33" w:rsidRPr="003A6129">
              <w:rPr>
                <w:rFonts w:eastAsia="Times New Roman"/>
                <w:sz w:val="22"/>
                <w:szCs w:val="22"/>
                <w:lang w:val="en-US" w:eastAsia="pt-BR"/>
              </w:rPr>
              <w:t>un /17</w:t>
            </w:r>
          </w:p>
        </w:tc>
        <w:tc>
          <w:tcPr>
            <w:tcW w:w="2050" w:type="dxa"/>
            <w:tcBorders>
              <w:top w:val="single" w:sz="4" w:space="0" w:color="auto"/>
              <w:bottom w:val="single" w:sz="4" w:space="0" w:color="auto"/>
            </w:tcBorders>
            <w:shd w:val="clear" w:color="000000" w:fill="FFFFFF"/>
            <w:noWrap/>
            <w:vAlign w:val="center"/>
            <w:hideMark/>
          </w:tcPr>
          <w:p w14:paraId="296962DA" w14:textId="77777777" w:rsidR="00F04B33" w:rsidRPr="003A6129" w:rsidRDefault="00801393" w:rsidP="00AF420A">
            <w:pPr>
              <w:spacing w:beforeLines="60" w:before="144" w:afterLines="60" w:after="144"/>
              <w:jc w:val="center"/>
              <w:rPr>
                <w:rFonts w:eastAsia="Times New Roman"/>
                <w:sz w:val="22"/>
                <w:szCs w:val="22"/>
                <w:lang w:val="en-US" w:eastAsia="pt-BR"/>
              </w:rPr>
            </w:pPr>
            <w:r w:rsidRPr="003A6129">
              <w:rPr>
                <w:rFonts w:eastAsia="Times New Roman"/>
                <w:sz w:val="22"/>
                <w:szCs w:val="22"/>
                <w:lang w:val="en-US" w:eastAsia="pt-BR"/>
              </w:rPr>
              <w:t>Jul /17 – J</w:t>
            </w:r>
            <w:r w:rsidR="00F04B33" w:rsidRPr="003A6129">
              <w:rPr>
                <w:rFonts w:eastAsia="Times New Roman"/>
                <w:sz w:val="22"/>
                <w:szCs w:val="22"/>
                <w:lang w:val="en-US" w:eastAsia="pt-BR"/>
              </w:rPr>
              <w:t>un /18</w:t>
            </w:r>
          </w:p>
        </w:tc>
      </w:tr>
      <w:tr w:rsidR="00F04B33" w:rsidRPr="009A0A7C" w14:paraId="5ACC8A65" w14:textId="77777777" w:rsidTr="003A6129">
        <w:trPr>
          <w:trHeight w:val="406"/>
          <w:jc w:val="center"/>
        </w:trPr>
        <w:tc>
          <w:tcPr>
            <w:tcW w:w="2977" w:type="dxa"/>
            <w:tcBorders>
              <w:top w:val="single" w:sz="4" w:space="0" w:color="auto"/>
            </w:tcBorders>
            <w:shd w:val="clear" w:color="000000" w:fill="FFFFFF"/>
            <w:noWrap/>
            <w:vAlign w:val="center"/>
            <w:hideMark/>
          </w:tcPr>
          <w:p w14:paraId="27F535E8" w14:textId="77777777" w:rsidR="00F04B33" w:rsidRPr="003A6129" w:rsidRDefault="00F04B33" w:rsidP="00AF420A">
            <w:pPr>
              <w:spacing w:beforeLines="60" w:before="144" w:afterLines="60" w:after="144"/>
              <w:jc w:val="both"/>
              <w:rPr>
                <w:rFonts w:eastAsia="Times New Roman"/>
                <w:sz w:val="22"/>
                <w:szCs w:val="22"/>
                <w:lang w:val="en-US" w:eastAsia="pt-BR"/>
              </w:rPr>
            </w:pPr>
            <w:r w:rsidRPr="003A6129">
              <w:rPr>
                <w:rFonts w:eastAsia="Times New Roman"/>
                <w:sz w:val="22"/>
                <w:szCs w:val="22"/>
                <w:lang w:val="en-US" w:eastAsia="pt-BR"/>
              </w:rPr>
              <w:t>SELIC</w:t>
            </w:r>
            <w:r w:rsidR="00EA7029" w:rsidRPr="003A6129">
              <w:rPr>
                <w:rFonts w:eastAsia="Times New Roman"/>
                <w:sz w:val="22"/>
                <w:szCs w:val="22"/>
                <w:lang w:val="en-US" w:eastAsia="pt-BR"/>
              </w:rPr>
              <w:t xml:space="preserve"> [</w:t>
            </w:r>
            <w:r w:rsidR="00556765" w:rsidRPr="003A6129">
              <w:rPr>
                <w:rFonts w:eastAsia="Times New Roman"/>
                <w:sz w:val="22"/>
                <w:szCs w:val="22"/>
                <w:lang w:val="en-US" w:eastAsia="pt-BR"/>
              </w:rPr>
              <w:t>Implicit interest rate</w:t>
            </w:r>
            <w:r w:rsidR="00EA7029" w:rsidRPr="003A6129">
              <w:rPr>
                <w:rFonts w:eastAsia="Times New Roman"/>
                <w:sz w:val="22"/>
                <w:szCs w:val="22"/>
                <w:lang w:val="en-US" w:eastAsia="pt-BR"/>
              </w:rPr>
              <w:t>]</w:t>
            </w:r>
          </w:p>
        </w:tc>
        <w:tc>
          <w:tcPr>
            <w:tcW w:w="1842" w:type="dxa"/>
            <w:tcBorders>
              <w:top w:val="single" w:sz="4" w:space="0" w:color="auto"/>
            </w:tcBorders>
            <w:shd w:val="clear" w:color="000000" w:fill="FFFFFF"/>
            <w:noWrap/>
            <w:vAlign w:val="center"/>
            <w:hideMark/>
          </w:tcPr>
          <w:p w14:paraId="0521BFBB" w14:textId="2695872C" w:rsidR="00F04B33" w:rsidRPr="003A6129" w:rsidRDefault="00DA6CD5" w:rsidP="00AF420A">
            <w:pPr>
              <w:spacing w:beforeLines="60" w:before="144" w:afterLines="60" w:after="144"/>
              <w:jc w:val="center"/>
              <w:rPr>
                <w:rFonts w:eastAsia="Times New Roman"/>
                <w:sz w:val="22"/>
                <w:szCs w:val="22"/>
                <w:lang w:val="en-US" w:eastAsia="pt-BR"/>
              </w:rPr>
            </w:pPr>
            <w:r>
              <w:rPr>
                <w:rFonts w:eastAsia="Times New Roman"/>
                <w:sz w:val="22"/>
                <w:szCs w:val="22"/>
                <w:lang w:val="en-US" w:eastAsia="pt-BR"/>
              </w:rPr>
              <w:t>8.</w:t>
            </w:r>
            <w:r w:rsidR="00F04B33" w:rsidRPr="003A6129">
              <w:rPr>
                <w:rFonts w:eastAsia="Times New Roman"/>
                <w:sz w:val="22"/>
                <w:szCs w:val="22"/>
                <w:lang w:val="en-US" w:eastAsia="pt-BR"/>
              </w:rPr>
              <w:t>71</w:t>
            </w:r>
            <w:r w:rsidR="007832D8" w:rsidRPr="003A6129">
              <w:rPr>
                <w:rFonts w:eastAsia="Times New Roman"/>
                <w:sz w:val="22"/>
                <w:szCs w:val="22"/>
                <w:lang w:val="en-US" w:eastAsia="pt-BR"/>
              </w:rPr>
              <w:t xml:space="preserve"> </w:t>
            </w:r>
            <w:r w:rsidR="00EA7029" w:rsidRPr="003A6129">
              <w:rPr>
                <w:rFonts w:eastAsia="Times New Roman"/>
                <w:sz w:val="22"/>
                <w:szCs w:val="22"/>
                <w:lang w:val="en-US" w:eastAsia="pt-BR"/>
              </w:rPr>
              <w:t>[</w:t>
            </w:r>
            <w:r>
              <w:rPr>
                <w:rFonts w:eastAsia="Times New Roman"/>
                <w:sz w:val="22"/>
                <w:szCs w:val="22"/>
                <w:lang w:val="en-US" w:eastAsia="pt-BR"/>
              </w:rPr>
              <w:t>16.</w:t>
            </w:r>
            <w:r w:rsidR="008A2A8A" w:rsidRPr="003A6129">
              <w:rPr>
                <w:rFonts w:eastAsia="Times New Roman"/>
                <w:sz w:val="22"/>
                <w:szCs w:val="22"/>
                <w:lang w:val="en-US" w:eastAsia="pt-BR"/>
              </w:rPr>
              <w:t>00</w:t>
            </w:r>
            <w:r w:rsidR="00EA7029" w:rsidRPr="003A6129">
              <w:rPr>
                <w:rFonts w:eastAsia="Times New Roman"/>
                <w:sz w:val="22"/>
                <w:szCs w:val="22"/>
                <w:lang w:val="en-US" w:eastAsia="pt-BR"/>
              </w:rPr>
              <w:t>]</w:t>
            </w:r>
          </w:p>
        </w:tc>
        <w:tc>
          <w:tcPr>
            <w:tcW w:w="2074" w:type="dxa"/>
            <w:tcBorders>
              <w:top w:val="single" w:sz="4" w:space="0" w:color="auto"/>
            </w:tcBorders>
            <w:shd w:val="clear" w:color="000000" w:fill="FFFFFF"/>
            <w:noWrap/>
            <w:vAlign w:val="center"/>
            <w:hideMark/>
          </w:tcPr>
          <w:p w14:paraId="7AC5101E" w14:textId="3DC9D2C3" w:rsidR="00F04B33" w:rsidRPr="003A6129" w:rsidRDefault="00536557" w:rsidP="00AF420A">
            <w:pPr>
              <w:spacing w:beforeLines="60" w:before="144" w:afterLines="60" w:after="144"/>
              <w:jc w:val="center"/>
              <w:rPr>
                <w:rFonts w:eastAsia="Times New Roman"/>
                <w:sz w:val="22"/>
                <w:szCs w:val="22"/>
                <w:lang w:val="en-US" w:eastAsia="pt-BR"/>
              </w:rPr>
            </w:pPr>
            <w:r w:rsidRPr="003A6129">
              <w:rPr>
                <w:rFonts w:eastAsia="Times New Roman"/>
                <w:sz w:val="22"/>
                <w:szCs w:val="22"/>
                <w:lang w:val="en-US" w:eastAsia="pt-BR"/>
              </w:rPr>
              <w:t>1</w:t>
            </w:r>
            <w:r w:rsidR="00DA6CD5">
              <w:rPr>
                <w:rFonts w:eastAsia="Times New Roman"/>
                <w:sz w:val="22"/>
                <w:szCs w:val="22"/>
                <w:lang w:val="en-US" w:eastAsia="pt-BR"/>
              </w:rPr>
              <w:t>2.</w:t>
            </w:r>
            <w:r w:rsidR="00F04B33" w:rsidRPr="003A6129">
              <w:rPr>
                <w:rFonts w:eastAsia="Times New Roman"/>
                <w:sz w:val="22"/>
                <w:szCs w:val="22"/>
                <w:lang w:val="en-US" w:eastAsia="pt-BR"/>
              </w:rPr>
              <w:t>90</w:t>
            </w:r>
            <w:r w:rsidR="007832D8" w:rsidRPr="003A6129">
              <w:rPr>
                <w:rFonts w:eastAsia="Times New Roman"/>
                <w:sz w:val="22"/>
                <w:szCs w:val="22"/>
                <w:lang w:val="en-US" w:eastAsia="pt-BR"/>
              </w:rPr>
              <w:t xml:space="preserve"> </w:t>
            </w:r>
            <w:r w:rsidR="00EA7029" w:rsidRPr="003A6129">
              <w:rPr>
                <w:rFonts w:eastAsia="Times New Roman"/>
                <w:sz w:val="22"/>
                <w:szCs w:val="22"/>
                <w:lang w:val="en-US" w:eastAsia="pt-BR"/>
              </w:rPr>
              <w:t>[</w:t>
            </w:r>
            <w:r w:rsidR="00DA6CD5">
              <w:rPr>
                <w:rFonts w:eastAsia="Times New Roman"/>
                <w:sz w:val="22"/>
                <w:szCs w:val="22"/>
                <w:lang w:val="en-US" w:eastAsia="pt-BR"/>
              </w:rPr>
              <w:t>21.</w:t>
            </w:r>
            <w:r w:rsidR="008A2A8A" w:rsidRPr="003A6129">
              <w:rPr>
                <w:rFonts w:eastAsia="Times New Roman"/>
                <w:sz w:val="22"/>
                <w:szCs w:val="22"/>
                <w:lang w:val="en-US" w:eastAsia="pt-BR"/>
              </w:rPr>
              <w:t>68</w:t>
            </w:r>
            <w:r w:rsidR="00EA7029" w:rsidRPr="003A6129">
              <w:rPr>
                <w:rFonts w:eastAsia="Times New Roman"/>
                <w:sz w:val="22"/>
                <w:szCs w:val="22"/>
                <w:lang w:val="en-US" w:eastAsia="pt-BR"/>
              </w:rPr>
              <w:t>]</w:t>
            </w:r>
          </w:p>
        </w:tc>
        <w:tc>
          <w:tcPr>
            <w:tcW w:w="2050" w:type="dxa"/>
            <w:tcBorders>
              <w:top w:val="single" w:sz="4" w:space="0" w:color="auto"/>
            </w:tcBorders>
            <w:shd w:val="clear" w:color="000000" w:fill="FFFFFF"/>
            <w:noWrap/>
            <w:vAlign w:val="center"/>
            <w:hideMark/>
          </w:tcPr>
          <w:p w14:paraId="75084F06" w14:textId="7F0BCEC6" w:rsidR="00F04B33" w:rsidRPr="00FB2464" w:rsidRDefault="00DA6CD5" w:rsidP="00AF420A">
            <w:pPr>
              <w:spacing w:beforeLines="60" w:before="144" w:afterLines="60" w:after="144"/>
              <w:jc w:val="center"/>
              <w:rPr>
                <w:rFonts w:eastAsia="Times New Roman"/>
                <w:sz w:val="22"/>
                <w:szCs w:val="22"/>
                <w:lang w:eastAsia="pt-BR"/>
              </w:rPr>
            </w:pPr>
            <w:r>
              <w:rPr>
                <w:rFonts w:eastAsia="Times New Roman"/>
                <w:sz w:val="22"/>
                <w:szCs w:val="22"/>
                <w:lang w:val="en-US" w:eastAsia="pt-BR"/>
              </w:rPr>
              <w:t>6.</w:t>
            </w:r>
            <w:r w:rsidR="00F04B33" w:rsidRPr="003A6129">
              <w:rPr>
                <w:rFonts w:eastAsia="Times New Roman"/>
                <w:sz w:val="22"/>
                <w:szCs w:val="22"/>
                <w:lang w:val="en-US" w:eastAsia="pt-BR"/>
              </w:rPr>
              <w:t>40</w:t>
            </w:r>
            <w:r w:rsidR="007832D8" w:rsidRPr="003A6129">
              <w:rPr>
                <w:rFonts w:eastAsia="Times New Roman"/>
                <w:sz w:val="22"/>
                <w:szCs w:val="22"/>
                <w:lang w:val="en-US" w:eastAsia="pt-BR"/>
              </w:rPr>
              <w:t xml:space="preserve"> </w:t>
            </w:r>
            <w:r w:rsidR="00EA7029" w:rsidRPr="00FB2464">
              <w:rPr>
                <w:rFonts w:eastAsia="Times New Roman"/>
                <w:sz w:val="22"/>
                <w:szCs w:val="22"/>
                <w:lang w:eastAsia="pt-BR"/>
              </w:rPr>
              <w:t>[</w:t>
            </w:r>
            <w:r>
              <w:rPr>
                <w:rFonts w:eastAsia="Times New Roman"/>
                <w:sz w:val="22"/>
                <w:szCs w:val="22"/>
                <w:lang w:eastAsia="pt-BR"/>
              </w:rPr>
              <w:t>12.</w:t>
            </w:r>
            <w:r w:rsidR="008A2A8A" w:rsidRPr="00FB2464">
              <w:rPr>
                <w:rFonts w:eastAsia="Times New Roman"/>
                <w:sz w:val="22"/>
                <w:szCs w:val="22"/>
                <w:lang w:eastAsia="pt-BR"/>
              </w:rPr>
              <w:t>59</w:t>
            </w:r>
            <w:r w:rsidR="00EA7029" w:rsidRPr="00FB2464">
              <w:rPr>
                <w:rFonts w:eastAsia="Times New Roman"/>
                <w:sz w:val="22"/>
                <w:szCs w:val="22"/>
                <w:lang w:eastAsia="pt-BR"/>
              </w:rPr>
              <w:t>]</w:t>
            </w:r>
          </w:p>
        </w:tc>
      </w:tr>
      <w:tr w:rsidR="00F04B33" w:rsidRPr="009A0A7C" w14:paraId="234F5298" w14:textId="77777777" w:rsidTr="003A6129">
        <w:trPr>
          <w:trHeight w:val="406"/>
          <w:jc w:val="center"/>
        </w:trPr>
        <w:tc>
          <w:tcPr>
            <w:tcW w:w="2977" w:type="dxa"/>
            <w:shd w:val="clear" w:color="000000" w:fill="FFFFFF"/>
            <w:noWrap/>
            <w:vAlign w:val="center"/>
            <w:hideMark/>
          </w:tcPr>
          <w:p w14:paraId="73E63036" w14:textId="77777777" w:rsidR="00F04B33" w:rsidRPr="00FB2464" w:rsidRDefault="00F04B33" w:rsidP="00AF420A">
            <w:pPr>
              <w:spacing w:beforeLines="60" w:before="144" w:afterLines="60" w:after="144"/>
              <w:jc w:val="both"/>
              <w:rPr>
                <w:rFonts w:eastAsia="Times New Roman"/>
                <w:sz w:val="22"/>
                <w:szCs w:val="22"/>
                <w:lang w:eastAsia="pt-BR"/>
              </w:rPr>
            </w:pPr>
            <w:r w:rsidRPr="00FB2464">
              <w:rPr>
                <w:rFonts w:eastAsia="Times New Roman"/>
                <w:sz w:val="22"/>
                <w:szCs w:val="22"/>
                <w:lang w:eastAsia="pt-BR"/>
              </w:rPr>
              <w:t>% (Nominal GDP</w:t>
            </w:r>
            <w:r w:rsidR="003A4EE0" w:rsidRPr="00FB2464">
              <w:rPr>
                <w:rFonts w:eastAsia="Times New Roman"/>
                <w:sz w:val="22"/>
                <w:szCs w:val="22"/>
                <w:lang w:eastAsia="pt-BR"/>
              </w:rPr>
              <w:t>)</w:t>
            </w:r>
            <w:r w:rsidRPr="00FB2464">
              <w:rPr>
                <w:rFonts w:eastAsia="Times New Roman"/>
                <w:sz w:val="22"/>
                <w:szCs w:val="22"/>
                <w:lang w:eastAsia="pt-BR"/>
              </w:rPr>
              <w:t xml:space="preserve"> </w:t>
            </w:r>
          </w:p>
        </w:tc>
        <w:tc>
          <w:tcPr>
            <w:tcW w:w="1842" w:type="dxa"/>
            <w:shd w:val="clear" w:color="000000" w:fill="FFFFFF"/>
            <w:noWrap/>
            <w:vAlign w:val="center"/>
            <w:hideMark/>
          </w:tcPr>
          <w:p w14:paraId="60D47A8E" w14:textId="39C3C552" w:rsidR="00F04B33" w:rsidRPr="00FB2464" w:rsidRDefault="00DA6CD5" w:rsidP="00AF420A">
            <w:pPr>
              <w:spacing w:beforeLines="60" w:before="144" w:afterLines="60" w:after="144"/>
              <w:jc w:val="center"/>
              <w:rPr>
                <w:rFonts w:eastAsia="Times New Roman"/>
                <w:sz w:val="22"/>
                <w:szCs w:val="22"/>
                <w:lang w:eastAsia="pt-BR"/>
              </w:rPr>
            </w:pPr>
            <w:r>
              <w:rPr>
                <w:rFonts w:eastAsia="Times New Roman"/>
                <w:sz w:val="22"/>
                <w:szCs w:val="22"/>
                <w:lang w:eastAsia="pt-BR"/>
              </w:rPr>
              <w:t>10.</w:t>
            </w:r>
            <w:r w:rsidR="00F04B33" w:rsidRPr="00FB2464">
              <w:rPr>
                <w:rFonts w:eastAsia="Times New Roman"/>
                <w:sz w:val="22"/>
                <w:szCs w:val="22"/>
                <w:lang w:eastAsia="pt-BR"/>
              </w:rPr>
              <w:t>53</w:t>
            </w:r>
          </w:p>
        </w:tc>
        <w:tc>
          <w:tcPr>
            <w:tcW w:w="2074" w:type="dxa"/>
            <w:shd w:val="clear" w:color="000000" w:fill="FFFFFF"/>
            <w:noWrap/>
            <w:vAlign w:val="center"/>
            <w:hideMark/>
          </w:tcPr>
          <w:p w14:paraId="526E8C00" w14:textId="6F05D20B" w:rsidR="00F04B33" w:rsidRPr="00FB2464" w:rsidRDefault="00DA6CD5" w:rsidP="00AF420A">
            <w:pPr>
              <w:spacing w:beforeLines="60" w:before="144" w:afterLines="60" w:after="144"/>
              <w:jc w:val="center"/>
              <w:rPr>
                <w:rFonts w:eastAsia="Times New Roman"/>
                <w:sz w:val="22"/>
                <w:szCs w:val="22"/>
                <w:lang w:eastAsia="pt-BR"/>
              </w:rPr>
            </w:pPr>
            <w:r>
              <w:rPr>
                <w:rFonts w:eastAsia="Times New Roman"/>
                <w:sz w:val="22"/>
                <w:szCs w:val="22"/>
                <w:lang w:eastAsia="pt-BR"/>
              </w:rPr>
              <w:t>5.</w:t>
            </w:r>
            <w:r w:rsidR="00F04B33" w:rsidRPr="00FB2464">
              <w:rPr>
                <w:rFonts w:eastAsia="Times New Roman"/>
                <w:sz w:val="22"/>
                <w:szCs w:val="22"/>
                <w:lang w:eastAsia="pt-BR"/>
              </w:rPr>
              <w:t>14</w:t>
            </w:r>
          </w:p>
        </w:tc>
        <w:tc>
          <w:tcPr>
            <w:tcW w:w="2050" w:type="dxa"/>
            <w:shd w:val="clear" w:color="000000" w:fill="FFFFFF"/>
            <w:noWrap/>
            <w:vAlign w:val="center"/>
            <w:hideMark/>
          </w:tcPr>
          <w:p w14:paraId="75FDC3D9" w14:textId="763BFDB4" w:rsidR="00F04B33" w:rsidRPr="00FB2464" w:rsidRDefault="00DA6CD5" w:rsidP="00AF420A">
            <w:pPr>
              <w:spacing w:beforeLines="60" w:before="144" w:afterLines="60" w:after="144"/>
              <w:jc w:val="center"/>
              <w:rPr>
                <w:rFonts w:eastAsia="Times New Roman"/>
                <w:sz w:val="22"/>
                <w:szCs w:val="22"/>
                <w:lang w:eastAsia="pt-BR"/>
              </w:rPr>
            </w:pPr>
            <w:r>
              <w:rPr>
                <w:rFonts w:eastAsia="Times New Roman"/>
                <w:sz w:val="22"/>
                <w:szCs w:val="22"/>
                <w:lang w:eastAsia="pt-BR"/>
              </w:rPr>
              <w:t>4.</w:t>
            </w:r>
            <w:r w:rsidR="00F04B33" w:rsidRPr="00FB2464">
              <w:rPr>
                <w:rFonts w:eastAsia="Times New Roman"/>
                <w:sz w:val="22"/>
                <w:szCs w:val="22"/>
                <w:lang w:eastAsia="pt-BR"/>
              </w:rPr>
              <w:t>21</w:t>
            </w:r>
          </w:p>
        </w:tc>
      </w:tr>
      <w:tr w:rsidR="00EA7029" w:rsidRPr="009A0A7C" w14:paraId="10D4AE7F" w14:textId="77777777" w:rsidTr="003A6129">
        <w:trPr>
          <w:trHeight w:val="385"/>
          <w:jc w:val="center"/>
        </w:trPr>
        <w:tc>
          <w:tcPr>
            <w:tcW w:w="2977" w:type="dxa"/>
            <w:shd w:val="clear" w:color="000000" w:fill="FFFFFF"/>
            <w:noWrap/>
            <w:vAlign w:val="center"/>
            <w:hideMark/>
          </w:tcPr>
          <w:p w14:paraId="35206750" w14:textId="77777777" w:rsidR="00EA7029" w:rsidRPr="00FB2464" w:rsidRDefault="00EA7029" w:rsidP="00AF420A">
            <w:pPr>
              <w:spacing w:beforeLines="60" w:before="144" w:afterLines="60" w:after="144"/>
              <w:jc w:val="both"/>
              <w:rPr>
                <w:rFonts w:eastAsia="Times New Roman"/>
                <w:sz w:val="22"/>
                <w:szCs w:val="22"/>
                <w:lang w:eastAsia="pt-BR"/>
              </w:rPr>
            </w:pPr>
            <w:r w:rsidRPr="00FB2464">
              <w:rPr>
                <w:rFonts w:eastAsia="Times New Roman"/>
                <w:sz w:val="22"/>
                <w:szCs w:val="22"/>
                <w:lang w:eastAsia="pt-BR"/>
              </w:rPr>
              <w:t xml:space="preserve">Interest rate – </w:t>
            </w:r>
            <w:r w:rsidR="003A4EE0" w:rsidRPr="00FB2464">
              <w:rPr>
                <w:rFonts w:eastAsia="Times New Roman"/>
                <w:sz w:val="22"/>
                <w:szCs w:val="22"/>
                <w:lang w:eastAsia="pt-BR"/>
              </w:rPr>
              <w:t xml:space="preserve">Nominal </w:t>
            </w:r>
            <w:r w:rsidRPr="00FB2464">
              <w:rPr>
                <w:rFonts w:eastAsia="Times New Roman"/>
                <w:sz w:val="22"/>
                <w:szCs w:val="22"/>
                <w:lang w:eastAsia="pt-BR"/>
              </w:rPr>
              <w:t>GDP</w:t>
            </w:r>
          </w:p>
        </w:tc>
        <w:tc>
          <w:tcPr>
            <w:tcW w:w="1842" w:type="dxa"/>
            <w:shd w:val="clear" w:color="000000" w:fill="FFFFFF"/>
            <w:noWrap/>
            <w:vAlign w:val="center"/>
            <w:hideMark/>
          </w:tcPr>
          <w:p w14:paraId="37283697" w14:textId="1055A8EC" w:rsidR="00EA7029" w:rsidRPr="00FB2464" w:rsidRDefault="00EA7029" w:rsidP="00AF420A">
            <w:pPr>
              <w:spacing w:beforeLines="60" w:before="144" w:afterLines="60" w:after="144"/>
              <w:jc w:val="center"/>
              <w:rPr>
                <w:rFonts w:eastAsia="Times New Roman"/>
                <w:sz w:val="22"/>
                <w:szCs w:val="22"/>
                <w:lang w:eastAsia="pt-BR"/>
              </w:rPr>
            </w:pPr>
            <w:r w:rsidRPr="003A6129">
              <w:rPr>
                <w:rFonts w:eastAsia="Times New Roman"/>
                <w:b/>
                <w:sz w:val="22"/>
                <w:szCs w:val="22"/>
                <w:lang w:eastAsia="pt-BR"/>
              </w:rPr>
              <w:t>-</w:t>
            </w:r>
            <w:r w:rsidR="00DA6CD5">
              <w:rPr>
                <w:rFonts w:eastAsia="Times New Roman"/>
                <w:sz w:val="22"/>
                <w:szCs w:val="22"/>
                <w:lang w:eastAsia="pt-BR"/>
              </w:rPr>
              <w:t>1.</w:t>
            </w:r>
            <w:r w:rsidRPr="00FB2464">
              <w:rPr>
                <w:rFonts w:eastAsia="Times New Roman"/>
                <w:sz w:val="22"/>
                <w:szCs w:val="22"/>
                <w:lang w:eastAsia="pt-BR"/>
              </w:rPr>
              <w:t>82</w:t>
            </w:r>
            <w:r w:rsidR="003A4EE0" w:rsidRPr="00FB2464">
              <w:rPr>
                <w:rFonts w:eastAsia="Times New Roman"/>
                <w:sz w:val="22"/>
                <w:szCs w:val="22"/>
                <w:lang w:eastAsia="pt-BR"/>
              </w:rPr>
              <w:t xml:space="preserve"> </w:t>
            </w:r>
            <w:r w:rsidR="00DA6CD5">
              <w:rPr>
                <w:rFonts w:eastAsia="Times New Roman"/>
                <w:sz w:val="22"/>
                <w:szCs w:val="22"/>
                <w:lang w:eastAsia="pt-BR"/>
              </w:rPr>
              <w:t>[5.</w:t>
            </w:r>
            <w:r w:rsidRPr="00FB2464">
              <w:rPr>
                <w:rFonts w:eastAsia="Times New Roman"/>
                <w:sz w:val="22"/>
                <w:szCs w:val="22"/>
                <w:lang w:eastAsia="pt-BR"/>
              </w:rPr>
              <w:t>47]</w:t>
            </w:r>
          </w:p>
        </w:tc>
        <w:tc>
          <w:tcPr>
            <w:tcW w:w="2074" w:type="dxa"/>
            <w:shd w:val="clear" w:color="000000" w:fill="FFFFFF"/>
            <w:noWrap/>
            <w:vAlign w:val="center"/>
            <w:hideMark/>
          </w:tcPr>
          <w:p w14:paraId="1CC3001F" w14:textId="1C58A404" w:rsidR="00EA7029" w:rsidRPr="00FB2464" w:rsidRDefault="00DA6CD5" w:rsidP="00AF420A">
            <w:pPr>
              <w:spacing w:beforeLines="60" w:before="144" w:afterLines="60" w:after="144"/>
              <w:jc w:val="center"/>
              <w:rPr>
                <w:rFonts w:eastAsia="Times New Roman"/>
                <w:sz w:val="22"/>
                <w:szCs w:val="22"/>
                <w:lang w:eastAsia="pt-BR"/>
              </w:rPr>
            </w:pPr>
            <w:r>
              <w:rPr>
                <w:rFonts w:eastAsia="Times New Roman"/>
                <w:sz w:val="22"/>
                <w:szCs w:val="22"/>
                <w:lang w:eastAsia="pt-BR"/>
              </w:rPr>
              <w:t>7.</w:t>
            </w:r>
            <w:r w:rsidR="00EA7029" w:rsidRPr="00FB2464">
              <w:rPr>
                <w:rFonts w:eastAsia="Times New Roman"/>
                <w:sz w:val="22"/>
                <w:szCs w:val="22"/>
                <w:lang w:eastAsia="pt-BR"/>
              </w:rPr>
              <w:t>76</w:t>
            </w:r>
            <w:r w:rsidR="003A4EE0" w:rsidRPr="00FB2464">
              <w:rPr>
                <w:rFonts w:eastAsia="Times New Roman"/>
                <w:sz w:val="22"/>
                <w:szCs w:val="22"/>
                <w:lang w:eastAsia="pt-BR"/>
              </w:rPr>
              <w:t xml:space="preserve"> </w:t>
            </w:r>
            <w:r>
              <w:rPr>
                <w:rFonts w:eastAsia="Times New Roman"/>
                <w:sz w:val="22"/>
                <w:szCs w:val="22"/>
                <w:lang w:eastAsia="pt-BR"/>
              </w:rPr>
              <w:t>[16.</w:t>
            </w:r>
            <w:r w:rsidR="00EA7029" w:rsidRPr="00FB2464">
              <w:rPr>
                <w:rFonts w:eastAsia="Times New Roman"/>
                <w:sz w:val="22"/>
                <w:szCs w:val="22"/>
                <w:lang w:eastAsia="pt-BR"/>
              </w:rPr>
              <w:t>54]</w:t>
            </w:r>
          </w:p>
        </w:tc>
        <w:tc>
          <w:tcPr>
            <w:tcW w:w="2050" w:type="dxa"/>
            <w:shd w:val="clear" w:color="000000" w:fill="FFFFFF"/>
            <w:noWrap/>
            <w:vAlign w:val="center"/>
            <w:hideMark/>
          </w:tcPr>
          <w:p w14:paraId="7FE860C0" w14:textId="3CC5B8EA" w:rsidR="00EA7029" w:rsidRPr="00FB2464" w:rsidRDefault="00DA6CD5" w:rsidP="00AF420A">
            <w:pPr>
              <w:spacing w:beforeLines="60" w:before="144" w:afterLines="60" w:after="144"/>
              <w:jc w:val="center"/>
              <w:rPr>
                <w:rFonts w:eastAsia="Times New Roman"/>
                <w:sz w:val="22"/>
                <w:szCs w:val="22"/>
                <w:lang w:eastAsia="pt-BR"/>
              </w:rPr>
            </w:pPr>
            <w:r>
              <w:rPr>
                <w:rFonts w:eastAsia="Times New Roman"/>
                <w:sz w:val="22"/>
                <w:szCs w:val="22"/>
                <w:lang w:eastAsia="pt-BR"/>
              </w:rPr>
              <w:t>2.</w:t>
            </w:r>
            <w:r w:rsidR="00EA7029" w:rsidRPr="00FB2464">
              <w:rPr>
                <w:rFonts w:eastAsia="Times New Roman"/>
                <w:sz w:val="22"/>
                <w:szCs w:val="22"/>
                <w:lang w:eastAsia="pt-BR"/>
              </w:rPr>
              <w:t>19</w:t>
            </w:r>
            <w:r w:rsidR="003A4EE0" w:rsidRPr="00FB2464">
              <w:rPr>
                <w:rFonts w:eastAsia="Times New Roman"/>
                <w:sz w:val="22"/>
                <w:szCs w:val="22"/>
                <w:lang w:eastAsia="pt-BR"/>
              </w:rPr>
              <w:t xml:space="preserve"> </w:t>
            </w:r>
            <w:r>
              <w:rPr>
                <w:rFonts w:eastAsia="Times New Roman"/>
                <w:sz w:val="22"/>
                <w:szCs w:val="22"/>
                <w:lang w:eastAsia="pt-BR"/>
              </w:rPr>
              <w:t>[8.</w:t>
            </w:r>
            <w:r w:rsidR="00EA7029" w:rsidRPr="00FB2464">
              <w:rPr>
                <w:rFonts w:eastAsia="Times New Roman"/>
                <w:sz w:val="22"/>
                <w:szCs w:val="22"/>
                <w:lang w:eastAsia="pt-BR"/>
              </w:rPr>
              <w:t>38]</w:t>
            </w:r>
          </w:p>
        </w:tc>
      </w:tr>
      <w:tr w:rsidR="00F04B33" w:rsidRPr="009A0A7C" w14:paraId="201B6A9A" w14:textId="77777777" w:rsidTr="003A6129">
        <w:trPr>
          <w:trHeight w:val="561"/>
          <w:jc w:val="center"/>
        </w:trPr>
        <w:tc>
          <w:tcPr>
            <w:tcW w:w="2977" w:type="dxa"/>
            <w:shd w:val="clear" w:color="000000" w:fill="FFFFFF"/>
            <w:noWrap/>
            <w:vAlign w:val="center"/>
            <w:hideMark/>
          </w:tcPr>
          <w:p w14:paraId="4A3704A5" w14:textId="77777777" w:rsidR="00F04B33" w:rsidRPr="00FB2464" w:rsidRDefault="00AD5DF8" w:rsidP="00AF420A">
            <w:pPr>
              <w:spacing w:beforeLines="60" w:before="144" w:afterLines="60" w:after="144"/>
              <w:jc w:val="both"/>
              <w:rPr>
                <w:rFonts w:eastAsia="Times New Roman"/>
                <w:sz w:val="22"/>
                <w:szCs w:val="22"/>
                <w:lang w:eastAsia="pt-BR"/>
              </w:rPr>
            </w:pPr>
            <w:r w:rsidRPr="00FB2464">
              <w:rPr>
                <w:rFonts w:eastAsia="Times New Roman"/>
                <w:sz w:val="22"/>
                <w:szCs w:val="22"/>
                <w:lang w:eastAsia="pt-BR"/>
              </w:rPr>
              <w:t>Fiscal Reaction</w:t>
            </w:r>
            <w:r w:rsidR="00536557" w:rsidRPr="00FB2464">
              <w:rPr>
                <w:rFonts w:eastAsia="Times New Roman"/>
                <w:sz w:val="22"/>
                <w:szCs w:val="22"/>
                <w:lang w:eastAsia="pt-BR"/>
              </w:rPr>
              <w:t xml:space="preserve"> (</w:t>
            </w:r>
            <w:r w:rsidR="003A4EE0" w:rsidRPr="00FB2464">
              <w:rPr>
                <w:rFonts w:eastAsia="Times New Roman"/>
                <w:sz w:val="22"/>
                <w:szCs w:val="22"/>
                <w:lang w:eastAsia="pt-BR"/>
              </w:rPr>
              <w:t>M</w:t>
            </w:r>
            <w:r w:rsidR="00536557" w:rsidRPr="00FB2464">
              <w:rPr>
                <w:rFonts w:eastAsia="Times New Roman"/>
                <w:sz w:val="22"/>
                <w:szCs w:val="22"/>
                <w:lang w:eastAsia="pt-BR"/>
              </w:rPr>
              <w:t>ean)</w:t>
            </w:r>
          </w:p>
        </w:tc>
        <w:tc>
          <w:tcPr>
            <w:tcW w:w="1842" w:type="dxa"/>
            <w:shd w:val="clear" w:color="000000" w:fill="FFFFFF"/>
            <w:noWrap/>
            <w:vAlign w:val="center"/>
            <w:hideMark/>
          </w:tcPr>
          <w:p w14:paraId="3BBA04DC" w14:textId="101EF3BE" w:rsidR="00F04B33" w:rsidRPr="00FB2464" w:rsidRDefault="00DA6CD5" w:rsidP="00AF420A">
            <w:pPr>
              <w:spacing w:beforeLines="60" w:before="144" w:afterLines="60" w:after="144"/>
              <w:jc w:val="center"/>
              <w:rPr>
                <w:rFonts w:eastAsia="Times New Roman"/>
                <w:sz w:val="22"/>
                <w:szCs w:val="22"/>
                <w:lang w:eastAsia="pt-BR"/>
              </w:rPr>
            </w:pPr>
            <w:r>
              <w:rPr>
                <w:rFonts w:eastAsia="Times New Roman"/>
                <w:sz w:val="22"/>
                <w:szCs w:val="22"/>
                <w:lang w:eastAsia="pt-BR"/>
              </w:rPr>
              <w:t>5.</w:t>
            </w:r>
            <w:r w:rsidR="00F04B33" w:rsidRPr="00FB2464">
              <w:rPr>
                <w:rFonts w:eastAsia="Times New Roman"/>
                <w:sz w:val="22"/>
                <w:szCs w:val="22"/>
                <w:lang w:eastAsia="pt-BR"/>
              </w:rPr>
              <w:t>27</w:t>
            </w:r>
          </w:p>
        </w:tc>
        <w:tc>
          <w:tcPr>
            <w:tcW w:w="2074" w:type="dxa"/>
            <w:shd w:val="clear" w:color="000000" w:fill="FFFFFF"/>
            <w:noWrap/>
            <w:vAlign w:val="center"/>
            <w:hideMark/>
          </w:tcPr>
          <w:p w14:paraId="6A593A5F" w14:textId="352CC492" w:rsidR="00F04B33" w:rsidRPr="00FB2464" w:rsidRDefault="00DA6CD5" w:rsidP="00AF420A">
            <w:pPr>
              <w:spacing w:beforeLines="60" w:before="144" w:afterLines="60" w:after="144"/>
              <w:jc w:val="center"/>
              <w:rPr>
                <w:rFonts w:eastAsia="Times New Roman"/>
                <w:sz w:val="22"/>
                <w:szCs w:val="22"/>
                <w:lang w:eastAsia="pt-BR"/>
              </w:rPr>
            </w:pPr>
            <w:r>
              <w:rPr>
                <w:rFonts w:eastAsia="Times New Roman"/>
                <w:sz w:val="22"/>
                <w:szCs w:val="22"/>
                <w:lang w:eastAsia="pt-BR"/>
              </w:rPr>
              <w:t>3.</w:t>
            </w:r>
            <w:r w:rsidR="00F04B33" w:rsidRPr="00FB2464">
              <w:rPr>
                <w:rFonts w:eastAsia="Times New Roman"/>
                <w:sz w:val="22"/>
                <w:szCs w:val="22"/>
                <w:lang w:eastAsia="pt-BR"/>
              </w:rPr>
              <w:t>55</w:t>
            </w:r>
          </w:p>
        </w:tc>
        <w:tc>
          <w:tcPr>
            <w:tcW w:w="2050" w:type="dxa"/>
            <w:shd w:val="clear" w:color="000000" w:fill="FFFFFF"/>
            <w:noWrap/>
            <w:vAlign w:val="center"/>
            <w:hideMark/>
          </w:tcPr>
          <w:p w14:paraId="7C212F2A" w14:textId="4648CF16" w:rsidR="00F04B33" w:rsidRPr="003A6129" w:rsidRDefault="00F04B33" w:rsidP="00AF420A">
            <w:pPr>
              <w:spacing w:beforeLines="60" w:before="144" w:afterLines="60" w:after="144"/>
              <w:jc w:val="center"/>
              <w:rPr>
                <w:rFonts w:eastAsia="Times New Roman"/>
                <w:sz w:val="22"/>
                <w:szCs w:val="22"/>
                <w:lang w:eastAsia="pt-BR"/>
              </w:rPr>
            </w:pPr>
            <w:r w:rsidRPr="003A6129">
              <w:rPr>
                <w:rFonts w:eastAsia="Times New Roman"/>
                <w:b/>
                <w:sz w:val="22"/>
                <w:szCs w:val="22"/>
                <w:lang w:eastAsia="pt-BR"/>
              </w:rPr>
              <w:t>-</w:t>
            </w:r>
            <w:r w:rsidR="00DA6CD5">
              <w:rPr>
                <w:rFonts w:eastAsia="Times New Roman"/>
                <w:sz w:val="22"/>
                <w:szCs w:val="22"/>
                <w:lang w:eastAsia="pt-BR"/>
              </w:rPr>
              <w:t>1.</w:t>
            </w:r>
            <w:r w:rsidRPr="003A6129">
              <w:rPr>
                <w:rFonts w:eastAsia="Times New Roman"/>
                <w:sz w:val="22"/>
                <w:szCs w:val="22"/>
                <w:lang w:eastAsia="pt-BR"/>
              </w:rPr>
              <w:t>57</w:t>
            </w:r>
          </w:p>
        </w:tc>
      </w:tr>
      <w:tr w:rsidR="00F04B33" w:rsidRPr="00E829F5" w14:paraId="0DD3D4CF" w14:textId="77777777" w:rsidTr="003A6129">
        <w:trPr>
          <w:trHeight w:val="1029"/>
          <w:jc w:val="center"/>
        </w:trPr>
        <w:tc>
          <w:tcPr>
            <w:tcW w:w="2977" w:type="dxa"/>
            <w:tcBorders>
              <w:bottom w:val="single" w:sz="4" w:space="0" w:color="auto"/>
            </w:tcBorders>
            <w:shd w:val="clear" w:color="000000" w:fill="FFFFFF"/>
            <w:vAlign w:val="center"/>
            <w:hideMark/>
          </w:tcPr>
          <w:p w14:paraId="50AAB7AE" w14:textId="5E09FEB0" w:rsidR="00897EBA" w:rsidRPr="00FB2464" w:rsidRDefault="00AD5DF8" w:rsidP="00907D95">
            <w:pPr>
              <w:spacing w:beforeLines="60" w:before="144" w:afterLines="60" w:after="144"/>
              <w:jc w:val="both"/>
              <w:rPr>
                <w:rFonts w:eastAsia="Times New Roman"/>
                <w:sz w:val="22"/>
                <w:szCs w:val="22"/>
                <w:lang w:eastAsia="pt-BR"/>
              </w:rPr>
            </w:pPr>
            <w:r w:rsidRPr="00FB2464">
              <w:rPr>
                <w:rFonts w:eastAsia="Times New Roman"/>
                <w:sz w:val="22"/>
                <w:szCs w:val="22"/>
                <w:lang w:eastAsia="pt-BR"/>
              </w:rPr>
              <w:t xml:space="preserve">Sustainability </w:t>
            </w:r>
            <w:r w:rsidR="00907D95">
              <w:rPr>
                <w:rFonts w:eastAsia="Times New Roman"/>
                <w:sz w:val="22"/>
                <w:szCs w:val="22"/>
                <w:lang w:eastAsia="pt-BR"/>
              </w:rPr>
              <w:t>(c</w:t>
            </w:r>
            <w:r w:rsidR="003A6129">
              <w:rPr>
                <w:rFonts w:eastAsia="Times New Roman"/>
                <w:sz w:val="22"/>
                <w:szCs w:val="22"/>
                <w:lang w:eastAsia="pt-BR"/>
              </w:rPr>
              <w:t>ondition 9</w:t>
            </w:r>
            <w:r w:rsidR="00897EBA" w:rsidRPr="00FB2464">
              <w:rPr>
                <w:rFonts w:eastAsia="Times New Roman"/>
                <w:sz w:val="22"/>
                <w:szCs w:val="22"/>
                <w:lang w:eastAsia="pt-BR"/>
              </w:rPr>
              <w:t>)</w:t>
            </w:r>
          </w:p>
        </w:tc>
        <w:tc>
          <w:tcPr>
            <w:tcW w:w="1842" w:type="dxa"/>
            <w:tcBorders>
              <w:bottom w:val="single" w:sz="4" w:space="0" w:color="auto"/>
            </w:tcBorders>
            <w:shd w:val="clear" w:color="000000" w:fill="FFFFFF"/>
            <w:noWrap/>
            <w:vAlign w:val="center"/>
            <w:hideMark/>
          </w:tcPr>
          <w:p w14:paraId="40556EA5" w14:textId="0E19E135" w:rsidR="00F04B33" w:rsidRPr="006A0603" w:rsidRDefault="00AD5DF8" w:rsidP="00AF420A">
            <w:pPr>
              <w:spacing w:beforeLines="60" w:before="144" w:afterLines="60" w:after="144"/>
              <w:rPr>
                <w:rFonts w:eastAsia="Times New Roman"/>
                <w:sz w:val="22"/>
                <w:szCs w:val="22"/>
                <w:lang w:val="en-US" w:eastAsia="pt-BR"/>
              </w:rPr>
            </w:pPr>
            <w:r w:rsidRPr="003A6129">
              <w:rPr>
                <w:rFonts w:eastAsia="Times New Roman"/>
                <w:sz w:val="22"/>
                <w:szCs w:val="22"/>
                <w:u w:val="single"/>
                <w:lang w:val="en-US" w:eastAsia="pt-BR"/>
              </w:rPr>
              <w:t>Sustainable</w:t>
            </w:r>
            <w:r w:rsidR="003A6129">
              <w:rPr>
                <w:rFonts w:eastAsia="Times New Roman"/>
                <w:sz w:val="22"/>
                <w:szCs w:val="22"/>
                <w:lang w:val="en-US" w:eastAsia="pt-BR"/>
              </w:rPr>
              <w:t xml:space="preserve"> -</w:t>
            </w:r>
            <w:r w:rsidR="00897EBA" w:rsidRPr="006A0603">
              <w:rPr>
                <w:rFonts w:eastAsia="Times New Roman"/>
                <w:sz w:val="22"/>
                <w:szCs w:val="22"/>
                <w:lang w:val="en-US" w:eastAsia="pt-BR"/>
              </w:rPr>
              <w:t xml:space="preserve"> when Selic is </w:t>
            </w:r>
            <w:r w:rsidR="003A6129">
              <w:rPr>
                <w:rFonts w:eastAsia="Times New Roman"/>
                <w:sz w:val="22"/>
                <w:szCs w:val="22"/>
                <w:lang w:val="en-US" w:eastAsia="pt-BR"/>
              </w:rPr>
              <w:t>c</w:t>
            </w:r>
            <w:r w:rsidR="00897EBA" w:rsidRPr="006A0603">
              <w:rPr>
                <w:rFonts w:eastAsia="Times New Roman"/>
                <w:sz w:val="22"/>
                <w:szCs w:val="22"/>
                <w:lang w:val="en-US" w:eastAsia="pt-BR"/>
              </w:rPr>
              <w:t>onsidered</w:t>
            </w:r>
          </w:p>
          <w:p w14:paraId="319C3E76" w14:textId="0FFEA2A2" w:rsidR="00AD5DF8" w:rsidRPr="006A0603" w:rsidRDefault="00897EBA" w:rsidP="00AF420A">
            <w:pPr>
              <w:spacing w:beforeLines="60" w:before="144" w:afterLines="60" w:after="144"/>
              <w:rPr>
                <w:rFonts w:eastAsia="Times New Roman"/>
                <w:sz w:val="22"/>
                <w:szCs w:val="22"/>
                <w:lang w:val="en-US" w:eastAsia="pt-BR"/>
              </w:rPr>
            </w:pPr>
            <w:r w:rsidRPr="003A6129">
              <w:rPr>
                <w:rFonts w:eastAsia="Times New Roman"/>
                <w:sz w:val="22"/>
                <w:szCs w:val="22"/>
                <w:u w:val="single"/>
                <w:lang w:val="en-US" w:eastAsia="pt-BR"/>
              </w:rPr>
              <w:t>U</w:t>
            </w:r>
            <w:r w:rsidR="00AD5DF8" w:rsidRPr="003A6129">
              <w:rPr>
                <w:rFonts w:eastAsia="Times New Roman"/>
                <w:sz w:val="22"/>
                <w:szCs w:val="22"/>
                <w:u w:val="single"/>
                <w:lang w:val="en-US" w:eastAsia="pt-BR"/>
              </w:rPr>
              <w:t>nsustainable</w:t>
            </w:r>
            <w:r w:rsidR="003A6129">
              <w:rPr>
                <w:rFonts w:eastAsia="Times New Roman"/>
                <w:sz w:val="22"/>
                <w:szCs w:val="22"/>
                <w:lang w:val="en-US" w:eastAsia="pt-BR"/>
              </w:rPr>
              <w:t xml:space="preserve"> -</w:t>
            </w:r>
            <w:r w:rsidRPr="006A0603">
              <w:rPr>
                <w:rFonts w:eastAsia="Times New Roman"/>
                <w:sz w:val="22"/>
                <w:szCs w:val="22"/>
                <w:lang w:val="en-US" w:eastAsia="pt-BR"/>
              </w:rPr>
              <w:t xml:space="preserve"> </w:t>
            </w:r>
            <w:r w:rsidR="003A6129">
              <w:rPr>
                <w:rFonts w:eastAsia="Times New Roman"/>
                <w:sz w:val="22"/>
                <w:szCs w:val="22"/>
                <w:lang w:val="en-US" w:eastAsia="pt-BR"/>
              </w:rPr>
              <w:t>w</w:t>
            </w:r>
            <w:r w:rsidRPr="006A0603">
              <w:rPr>
                <w:rFonts w:eastAsia="Times New Roman"/>
                <w:sz w:val="22"/>
                <w:szCs w:val="22"/>
                <w:lang w:val="en-US" w:eastAsia="pt-BR"/>
              </w:rPr>
              <w:t xml:space="preserve">hen the </w:t>
            </w:r>
            <w:r w:rsidR="003A6129">
              <w:rPr>
                <w:rFonts w:eastAsia="Times New Roman"/>
                <w:sz w:val="22"/>
                <w:szCs w:val="22"/>
                <w:lang w:val="en-US" w:eastAsia="pt-BR"/>
              </w:rPr>
              <w:t>i</w:t>
            </w:r>
            <w:r w:rsidRPr="006A0603">
              <w:rPr>
                <w:rFonts w:eastAsia="Times New Roman"/>
                <w:sz w:val="22"/>
                <w:szCs w:val="22"/>
                <w:lang w:val="en-US" w:eastAsia="pt-BR"/>
              </w:rPr>
              <w:t xml:space="preserve">mplicit </w:t>
            </w:r>
            <w:r w:rsidR="003A6129">
              <w:rPr>
                <w:rFonts w:eastAsia="Times New Roman"/>
                <w:sz w:val="22"/>
                <w:szCs w:val="22"/>
                <w:lang w:val="en-US" w:eastAsia="pt-BR"/>
              </w:rPr>
              <w:t>r</w:t>
            </w:r>
            <w:r w:rsidRPr="006A0603">
              <w:rPr>
                <w:rFonts w:eastAsia="Times New Roman"/>
                <w:sz w:val="22"/>
                <w:szCs w:val="22"/>
                <w:lang w:val="en-US" w:eastAsia="pt-BR"/>
              </w:rPr>
              <w:t xml:space="preserve">ate is </w:t>
            </w:r>
            <w:r w:rsidR="003A6129">
              <w:rPr>
                <w:rFonts w:eastAsia="Times New Roman"/>
                <w:sz w:val="22"/>
                <w:szCs w:val="22"/>
                <w:lang w:val="en-US" w:eastAsia="pt-BR"/>
              </w:rPr>
              <w:t>c</w:t>
            </w:r>
            <w:r w:rsidRPr="006A0603">
              <w:rPr>
                <w:rFonts w:eastAsia="Times New Roman"/>
                <w:sz w:val="22"/>
                <w:szCs w:val="22"/>
                <w:lang w:val="en-US" w:eastAsia="pt-BR"/>
              </w:rPr>
              <w:t>onsidered</w:t>
            </w:r>
          </w:p>
        </w:tc>
        <w:tc>
          <w:tcPr>
            <w:tcW w:w="2074" w:type="dxa"/>
            <w:tcBorders>
              <w:bottom w:val="single" w:sz="4" w:space="0" w:color="auto"/>
            </w:tcBorders>
            <w:shd w:val="clear" w:color="000000" w:fill="FFFFFF"/>
            <w:noWrap/>
            <w:vAlign w:val="center"/>
            <w:hideMark/>
          </w:tcPr>
          <w:p w14:paraId="5214FDB2" w14:textId="3D2CC14D" w:rsidR="00F04B33" w:rsidRPr="006A0603" w:rsidRDefault="003A6129" w:rsidP="00AF420A">
            <w:pPr>
              <w:spacing w:beforeLines="60" w:before="144" w:afterLines="60" w:after="144"/>
              <w:jc w:val="center"/>
              <w:rPr>
                <w:rFonts w:eastAsia="Times New Roman"/>
                <w:sz w:val="22"/>
                <w:szCs w:val="22"/>
                <w:lang w:val="en-US" w:eastAsia="pt-BR"/>
              </w:rPr>
            </w:pPr>
            <w:r w:rsidRPr="003A6129">
              <w:rPr>
                <w:rFonts w:eastAsia="Times New Roman"/>
                <w:sz w:val="22"/>
                <w:szCs w:val="22"/>
                <w:u w:val="single"/>
                <w:lang w:val="en-US" w:eastAsia="pt-BR"/>
              </w:rPr>
              <w:t>Unsustainable</w:t>
            </w:r>
            <w:r>
              <w:rPr>
                <w:rFonts w:eastAsia="Times New Roman"/>
                <w:sz w:val="22"/>
                <w:szCs w:val="22"/>
                <w:lang w:val="en-US" w:eastAsia="pt-BR"/>
              </w:rPr>
              <w:t xml:space="preserve"> -  w</w:t>
            </w:r>
            <w:r w:rsidR="00AD5DF8" w:rsidRPr="006A0603">
              <w:rPr>
                <w:rFonts w:eastAsia="Times New Roman"/>
                <w:sz w:val="22"/>
                <w:szCs w:val="22"/>
                <w:lang w:val="en-US" w:eastAsia="pt-BR"/>
              </w:rPr>
              <w:t>hatever</w:t>
            </w:r>
            <w:r w:rsidR="0016304E" w:rsidRPr="006A0603">
              <w:rPr>
                <w:rFonts w:eastAsia="Times New Roman"/>
                <w:sz w:val="22"/>
                <w:szCs w:val="22"/>
                <w:lang w:val="en-US" w:eastAsia="pt-BR"/>
              </w:rPr>
              <w:t xml:space="preserve"> the</w:t>
            </w:r>
            <w:r>
              <w:rPr>
                <w:rFonts w:eastAsia="Times New Roman"/>
                <w:sz w:val="22"/>
                <w:szCs w:val="22"/>
                <w:lang w:val="en-US" w:eastAsia="pt-BR"/>
              </w:rPr>
              <w:t xml:space="preserve"> interest rate c</w:t>
            </w:r>
            <w:r w:rsidR="00AD5DF8" w:rsidRPr="006A0603">
              <w:rPr>
                <w:rFonts w:eastAsia="Times New Roman"/>
                <w:sz w:val="22"/>
                <w:szCs w:val="22"/>
                <w:lang w:val="en-US" w:eastAsia="pt-BR"/>
              </w:rPr>
              <w:t>onsidered</w:t>
            </w:r>
          </w:p>
        </w:tc>
        <w:tc>
          <w:tcPr>
            <w:tcW w:w="2050" w:type="dxa"/>
            <w:tcBorders>
              <w:bottom w:val="single" w:sz="4" w:space="0" w:color="auto"/>
            </w:tcBorders>
            <w:shd w:val="clear" w:color="000000" w:fill="FFFFFF"/>
            <w:noWrap/>
            <w:vAlign w:val="center"/>
            <w:hideMark/>
          </w:tcPr>
          <w:p w14:paraId="0A5584C9" w14:textId="22E78269" w:rsidR="00F04B33" w:rsidRPr="006A0603" w:rsidRDefault="003A6129" w:rsidP="00AF420A">
            <w:pPr>
              <w:spacing w:beforeLines="60" w:before="144" w:afterLines="60" w:after="144"/>
              <w:jc w:val="center"/>
              <w:rPr>
                <w:rFonts w:eastAsia="Times New Roman"/>
                <w:sz w:val="22"/>
                <w:szCs w:val="22"/>
                <w:lang w:val="en-US" w:eastAsia="pt-BR"/>
              </w:rPr>
            </w:pPr>
            <w:r w:rsidRPr="003A6129">
              <w:rPr>
                <w:rFonts w:eastAsia="Times New Roman"/>
                <w:sz w:val="22"/>
                <w:szCs w:val="22"/>
                <w:u w:val="single"/>
                <w:lang w:val="en-US" w:eastAsia="pt-BR"/>
              </w:rPr>
              <w:t>Unsustainable</w:t>
            </w:r>
            <w:r>
              <w:rPr>
                <w:rFonts w:eastAsia="Times New Roman"/>
                <w:sz w:val="22"/>
                <w:szCs w:val="22"/>
                <w:lang w:val="en-US" w:eastAsia="pt-BR"/>
              </w:rPr>
              <w:t xml:space="preserve"> -w</w:t>
            </w:r>
            <w:r w:rsidR="00AD5DF8" w:rsidRPr="006A0603">
              <w:rPr>
                <w:rFonts w:eastAsia="Times New Roman"/>
                <w:sz w:val="22"/>
                <w:szCs w:val="22"/>
                <w:lang w:val="en-US" w:eastAsia="pt-BR"/>
              </w:rPr>
              <w:t>hatever</w:t>
            </w:r>
            <w:r w:rsidR="0016304E" w:rsidRPr="006A0603">
              <w:rPr>
                <w:rFonts w:eastAsia="Times New Roman"/>
                <w:sz w:val="22"/>
                <w:szCs w:val="22"/>
                <w:lang w:val="en-US" w:eastAsia="pt-BR"/>
              </w:rPr>
              <w:t xml:space="preserve"> the</w:t>
            </w:r>
            <w:r>
              <w:rPr>
                <w:rFonts w:eastAsia="Times New Roman"/>
                <w:sz w:val="22"/>
                <w:szCs w:val="22"/>
                <w:lang w:val="en-US" w:eastAsia="pt-BR"/>
              </w:rPr>
              <w:t xml:space="preserve"> interest rate c</w:t>
            </w:r>
            <w:r w:rsidR="00AD5DF8" w:rsidRPr="006A0603">
              <w:rPr>
                <w:rFonts w:eastAsia="Times New Roman"/>
                <w:sz w:val="22"/>
                <w:szCs w:val="22"/>
                <w:lang w:val="en-US" w:eastAsia="pt-BR"/>
              </w:rPr>
              <w:t>onsidered</w:t>
            </w:r>
          </w:p>
        </w:tc>
      </w:tr>
    </w:tbl>
    <w:p w14:paraId="66ABAE93" w14:textId="77777777" w:rsidR="00462FF0" w:rsidRDefault="00462FF0" w:rsidP="005E5845">
      <w:pPr>
        <w:pStyle w:val="texto-REP"/>
      </w:pPr>
    </w:p>
    <w:p w14:paraId="64F12AB4" w14:textId="09EAFCB9" w:rsidR="00FA432F" w:rsidRPr="00FB2464" w:rsidRDefault="00705DE5" w:rsidP="005E5845">
      <w:pPr>
        <w:pStyle w:val="texto-REP"/>
      </w:pPr>
      <w:r w:rsidRPr="00FB2464">
        <w:t>P</w:t>
      </w:r>
      <w:r w:rsidR="00487449" w:rsidRPr="00FB2464">
        <w:t>articular</w:t>
      </w:r>
      <w:r w:rsidRPr="00FB2464">
        <w:t>ly</w:t>
      </w:r>
      <w:r w:rsidR="00487449" w:rsidRPr="00FB2464">
        <w:t xml:space="preserve"> in the case of the Selic-based analysis, the transition to unsustainability </w:t>
      </w:r>
      <w:r w:rsidRPr="00FB2464">
        <w:t>as of</w:t>
      </w:r>
      <w:r w:rsidR="00487449" w:rsidRPr="00FB2464">
        <w:t xml:space="preserve"> January 2014 (in relation to the period beginning in January 2012) is due</w:t>
      </w:r>
      <w:r w:rsidR="00E026D9" w:rsidRPr="00FB2464">
        <w:t xml:space="preserve"> not only</w:t>
      </w:r>
      <w:r w:rsidR="00487449" w:rsidRPr="00FB2464">
        <w:t xml:space="preserve"> to changes in GDP and interest rates</w:t>
      </w:r>
      <w:r w:rsidR="00A82E3E" w:rsidRPr="00FB2464">
        <w:t xml:space="preserve"> (</w:t>
      </w:r>
      <w:r w:rsidR="003F5D5E" w:rsidRPr="00FB2464">
        <w:t xml:space="preserve">with </w:t>
      </w:r>
      <m:oMath>
        <m:r>
          <w:rPr>
            <w:rFonts w:ascii="Cambria Math" w:hAnsi="Cambria Math"/>
          </w:rPr>
          <m:t xml:space="preserve">i- </m:t>
        </m:r>
        <m:r>
          <w:rPr>
            <w:rFonts w:ascii="Cambria Math" w:hAnsi="Cambria Math"/>
            <w:i/>
          </w:rPr>
          <w:sym w:font="Symbol" w:char="F071"/>
        </m:r>
      </m:oMath>
      <w:r w:rsidR="007A7EE1">
        <w:t xml:space="preserve"> </w:t>
      </w:r>
      <w:r w:rsidR="00487449" w:rsidRPr="00FB2464">
        <w:t xml:space="preserve">rising from </w:t>
      </w:r>
      <w:r w:rsidR="00E026D9" w:rsidRPr="00FB2464">
        <w:t>-</w:t>
      </w:r>
      <w:r w:rsidR="00A82E3E" w:rsidRPr="00FB2464">
        <w:t>1</w:t>
      </w:r>
      <w:r w:rsidR="00487449" w:rsidRPr="00FB2464">
        <w:t>.</w:t>
      </w:r>
      <w:r w:rsidR="00E026D9" w:rsidRPr="00FB2464">
        <w:t>82</w:t>
      </w:r>
      <w:r w:rsidR="005A15D4" w:rsidRPr="00FB2464">
        <w:t>%</w:t>
      </w:r>
      <w:r w:rsidR="003A4EE0" w:rsidRPr="00FB2464">
        <w:t xml:space="preserve"> </w:t>
      </w:r>
      <w:r w:rsidR="00487449" w:rsidRPr="00FB2464">
        <w:t>to</w:t>
      </w:r>
      <w:r w:rsidR="003A4EE0" w:rsidRPr="00FB2464">
        <w:t xml:space="preserve"> </w:t>
      </w:r>
      <w:r w:rsidR="00E026D9" w:rsidRPr="00FB2464">
        <w:t>+7</w:t>
      </w:r>
      <w:r w:rsidR="00487449" w:rsidRPr="00FB2464">
        <w:t>.</w:t>
      </w:r>
      <w:r w:rsidR="00E026D9" w:rsidRPr="00FB2464">
        <w:t>76</w:t>
      </w:r>
      <w:r w:rsidR="008C0F34" w:rsidRPr="00FB2464">
        <w:t>%</w:t>
      </w:r>
      <w:r w:rsidR="00A82E3E" w:rsidRPr="00FB2464">
        <w:t>)</w:t>
      </w:r>
      <w:r w:rsidR="003F5D5E" w:rsidRPr="00FB2464">
        <w:t>,</w:t>
      </w:r>
      <w:r w:rsidR="003A4EE0" w:rsidRPr="00FB2464">
        <w:t xml:space="preserve"> </w:t>
      </w:r>
      <w:r w:rsidR="00E026D9" w:rsidRPr="00FB2464">
        <w:t>but also to the</w:t>
      </w:r>
      <w:r w:rsidR="008259D9" w:rsidRPr="00FB2464">
        <w:t xml:space="preserve"> reduction of the </w:t>
      </w:r>
      <w:r w:rsidR="00E976C2" w:rsidRPr="00FB2464">
        <w:t>fiscal</w:t>
      </w:r>
      <w:r w:rsidR="008259D9" w:rsidRPr="00FB2464">
        <w:t>-</w:t>
      </w:r>
      <w:r w:rsidR="00E976C2" w:rsidRPr="00FB2464">
        <w:t>reaction</w:t>
      </w:r>
      <w:r w:rsidR="00E026D9" w:rsidRPr="00FB2464">
        <w:t xml:space="preserve"> coefficient</w:t>
      </w:r>
      <w:r w:rsidR="008259D9" w:rsidRPr="00FB2464">
        <w:t>.</w:t>
      </w:r>
    </w:p>
    <w:p w14:paraId="13002AD0" w14:textId="6486C859" w:rsidR="003A4EE0" w:rsidRPr="00FB2464" w:rsidRDefault="003A4EE0" w:rsidP="005E5845">
      <w:pPr>
        <w:pStyle w:val="texto-REP"/>
      </w:pPr>
      <w:r w:rsidRPr="00FB2464">
        <w:t xml:space="preserve">The debt trajectory is unsustainable as of </w:t>
      </w:r>
      <w:r w:rsidR="00FB2464" w:rsidRPr="00FB2464">
        <w:t>June</w:t>
      </w:r>
      <w:r w:rsidRPr="00FB2464">
        <w:t xml:space="preserve"> of 2014, whatever the interest rate considered. Between June 14 and June 2017, the fiscal reaction is positive </w:t>
      </w:r>
      <w:r w:rsidR="00B05E35" w:rsidRPr="00FB2464">
        <w:t>and partially</w:t>
      </w:r>
      <w:r w:rsidR="00E23DF1" w:rsidRPr="00FB2464">
        <w:t xml:space="preserve"> compensates for the difference between interest rates and GPD growth. As of June </w:t>
      </w:r>
      <w:r w:rsidR="008F45F1" w:rsidRPr="00FB2464">
        <w:t>2017,</w:t>
      </w:r>
      <w:r w:rsidR="00E23DF1" w:rsidRPr="00FB2464">
        <w:t xml:space="preserve"> it adds to the difference, making the debt trajectory clearly unsustainable.</w:t>
      </w:r>
    </w:p>
    <w:p w14:paraId="0125FE34" w14:textId="77777777" w:rsidR="00462FF0" w:rsidRDefault="00462FF0" w:rsidP="00AF420A">
      <w:pPr>
        <w:pStyle w:val="SeoI-REP"/>
        <w:spacing w:beforeLines="60" w:before="144" w:afterLines="60" w:after="144"/>
        <w:jc w:val="both"/>
      </w:pPr>
    </w:p>
    <w:p w14:paraId="087724DD" w14:textId="78196433" w:rsidR="008C0F34" w:rsidRPr="00C40F10" w:rsidRDefault="008C0F34" w:rsidP="00AF420A">
      <w:pPr>
        <w:pStyle w:val="SeoI-REP"/>
        <w:spacing w:beforeLines="60" w:before="144" w:afterLines="60" w:after="144"/>
        <w:jc w:val="both"/>
      </w:pPr>
      <w:r w:rsidRPr="00C40F10">
        <w:t>Conclus</w:t>
      </w:r>
      <w:r w:rsidR="009677BA" w:rsidRPr="00C40F10">
        <w:t>ions</w:t>
      </w:r>
    </w:p>
    <w:p w14:paraId="5DCDE7B5" w14:textId="5626CDAD" w:rsidR="0052009F" w:rsidRDefault="00487449" w:rsidP="005E5845">
      <w:pPr>
        <w:pStyle w:val="texto-REP"/>
      </w:pPr>
      <w:r w:rsidRPr="009A0A7C">
        <w:t xml:space="preserve">This paper </w:t>
      </w:r>
      <w:r w:rsidR="0052009F">
        <w:t xml:space="preserve">draws attention to the recent fall of the fiscal reaction function in Brazil. </w:t>
      </w:r>
      <w:r w:rsidR="00363716">
        <w:t>Moreover,</w:t>
      </w:r>
      <w:r w:rsidR="00E23DF1">
        <w:t xml:space="preserve"> to the fact that it turns into negative figures</w:t>
      </w:r>
      <w:r w:rsidR="00363716">
        <w:t xml:space="preserve"> as of June</w:t>
      </w:r>
      <w:r w:rsidR="00E23DF1">
        <w:t xml:space="preserve"> 2017. </w:t>
      </w:r>
      <w:r w:rsidR="0052009F">
        <w:t>This is to say that any positive value regarding the excess of effective interest rates (accruing on the net public debt</w:t>
      </w:r>
      <w:r w:rsidR="008259D9">
        <w:t>)</w:t>
      </w:r>
      <w:r w:rsidR="0052009F">
        <w:t xml:space="preserve"> over GDP growth leads to a situation of unsustainable debt trajectory. The underlying message is that the country should be prepared for sharp changes regarding its conduction of fiscal policy. </w:t>
      </w:r>
    </w:p>
    <w:p w14:paraId="3F3EF826" w14:textId="1CE4C864" w:rsidR="00973742" w:rsidRDefault="0052009F" w:rsidP="005E5845">
      <w:pPr>
        <w:pStyle w:val="texto-REP"/>
      </w:pPr>
      <w:r>
        <w:t xml:space="preserve">A second contribution of the paper </w:t>
      </w:r>
      <w:r w:rsidR="00363716">
        <w:t xml:space="preserve">is </w:t>
      </w:r>
      <w:r>
        <w:t>to show that the analysis developed here, as well as the one previously developed in Campos and Cysne</w:t>
      </w:r>
      <w:r w:rsidR="00E23DF1">
        <w:t xml:space="preserve"> (2018)</w:t>
      </w:r>
      <w:r>
        <w:t xml:space="preserve">, are robust with respect to the definition of public sector. </w:t>
      </w:r>
      <w:r w:rsidR="00973742">
        <w:t>T</w:t>
      </w:r>
      <w:r w:rsidR="00973742" w:rsidRPr="009A0A7C">
        <w:t xml:space="preserve">he </w:t>
      </w:r>
      <w:r w:rsidR="00E23DF1">
        <w:t xml:space="preserve">study of fiscal imbalances based on the fiscal-reaction function shows </w:t>
      </w:r>
      <w:r w:rsidR="00973742">
        <w:t>how important the e</w:t>
      </w:r>
      <w:r w:rsidR="00EE4714">
        <w:t>xcess of interest rates ov</w:t>
      </w:r>
      <w:r w:rsidR="00973742">
        <w:t>er GDP growth may be for the sustainability of the debt to GPD ratio</w:t>
      </w:r>
      <w:r w:rsidR="00973742" w:rsidRPr="009A0A7C">
        <w:t xml:space="preserve">. </w:t>
      </w:r>
    </w:p>
    <w:p w14:paraId="6F5682F8" w14:textId="2BE7A700" w:rsidR="00462FF0" w:rsidRPr="00E829F5" w:rsidRDefault="00462FF0">
      <w:pPr>
        <w:rPr>
          <w:rFonts w:eastAsia="Calibri"/>
          <w:b/>
          <w:caps/>
          <w:color w:val="auto"/>
          <w:sz w:val="22"/>
          <w:szCs w:val="22"/>
          <w:lang w:val="en-US" w:eastAsia="pt-BR"/>
        </w:rPr>
      </w:pPr>
      <w:r w:rsidRPr="00E829F5">
        <w:rPr>
          <w:lang w:val="en-US"/>
        </w:rPr>
        <w:br w:type="page"/>
      </w:r>
    </w:p>
    <w:p w14:paraId="6DC2AB22" w14:textId="2AC554E4" w:rsidR="00757297" w:rsidRPr="00FB2464" w:rsidRDefault="00291513" w:rsidP="00AF420A">
      <w:pPr>
        <w:pStyle w:val="SeoI-REP"/>
        <w:spacing w:beforeLines="60" w:before="144" w:afterLines="60" w:after="144"/>
        <w:jc w:val="both"/>
        <w:rPr>
          <w:lang w:val="pt-BR"/>
        </w:rPr>
      </w:pPr>
      <w:r w:rsidRPr="00FB2464">
        <w:rPr>
          <w:lang w:val="pt-BR"/>
        </w:rPr>
        <w:lastRenderedPageBreak/>
        <w:t>Bibliogra</w:t>
      </w:r>
      <w:r w:rsidR="000D0EDC" w:rsidRPr="00FB2464">
        <w:rPr>
          <w:lang w:val="pt-BR"/>
        </w:rPr>
        <w:t>phic</w:t>
      </w:r>
      <w:r w:rsidR="00801393" w:rsidRPr="00FB2464">
        <w:rPr>
          <w:lang w:val="pt-BR"/>
        </w:rPr>
        <w:t xml:space="preserve"> </w:t>
      </w:r>
      <w:r w:rsidR="00757297" w:rsidRPr="00FB2464">
        <w:rPr>
          <w:lang w:val="pt-BR"/>
        </w:rPr>
        <w:t>Refer</w:t>
      </w:r>
      <w:r w:rsidR="000D0EDC" w:rsidRPr="00FB2464">
        <w:rPr>
          <w:lang w:val="pt-BR"/>
        </w:rPr>
        <w:t>e</w:t>
      </w:r>
      <w:r w:rsidR="00757297" w:rsidRPr="00FB2464">
        <w:rPr>
          <w:lang w:val="pt-BR"/>
        </w:rPr>
        <w:t>nc</w:t>
      </w:r>
      <w:r w:rsidR="000D0EDC" w:rsidRPr="00FB2464">
        <w:rPr>
          <w:lang w:val="pt-BR"/>
        </w:rPr>
        <w:t>e</w:t>
      </w:r>
      <w:r w:rsidR="00757297" w:rsidRPr="00FB2464">
        <w:rPr>
          <w:lang w:val="pt-BR"/>
        </w:rPr>
        <w:t>s</w:t>
      </w:r>
    </w:p>
    <w:p w14:paraId="602C35AE" w14:textId="77777777" w:rsidR="00EE4714" w:rsidRPr="00E829F5" w:rsidRDefault="00FB2464" w:rsidP="00AF420A">
      <w:pPr>
        <w:pStyle w:val="referencia-REP"/>
        <w:spacing w:beforeLines="60" w:before="144" w:afterLines="60" w:after="144"/>
        <w:contextualSpacing w:val="0"/>
        <w:rPr>
          <w:kern w:val="22"/>
          <w:sz w:val="22"/>
          <w:lang w:val="pt-BR"/>
        </w:rPr>
      </w:pPr>
      <w:r w:rsidRPr="00E829F5">
        <w:rPr>
          <w:kern w:val="22"/>
          <w:sz w:val="22"/>
          <w:lang w:val="pt-BR"/>
        </w:rPr>
        <w:t xml:space="preserve">BCB (Banco Central do Brasil) </w:t>
      </w:r>
      <w:r w:rsidR="00EE4714" w:rsidRPr="00E829F5">
        <w:rPr>
          <w:kern w:val="22"/>
          <w:sz w:val="22"/>
          <w:lang w:val="pt-BR"/>
        </w:rPr>
        <w:t>[1] (2016), Relatório de Indicadores Fiscais de junho/2016.</w:t>
      </w:r>
    </w:p>
    <w:p w14:paraId="1B1437A5" w14:textId="23895039" w:rsidR="00EE4714" w:rsidRPr="00E829F5" w:rsidRDefault="00FB2464" w:rsidP="00AF420A">
      <w:pPr>
        <w:pStyle w:val="referencia-REP"/>
        <w:spacing w:beforeLines="60" w:before="144" w:afterLines="60" w:after="144"/>
        <w:contextualSpacing w:val="0"/>
        <w:rPr>
          <w:kern w:val="22"/>
          <w:sz w:val="22"/>
          <w:lang w:val="pt-BR"/>
        </w:rPr>
      </w:pPr>
      <w:r w:rsidRPr="00363716">
        <w:rPr>
          <w:kern w:val="22"/>
          <w:sz w:val="22"/>
          <w:lang w:val="pt-BR"/>
        </w:rPr>
        <w:t xml:space="preserve">BCB (Banco Central do Brasil) </w:t>
      </w:r>
      <w:r w:rsidR="00EE4714" w:rsidRPr="00363716">
        <w:rPr>
          <w:kern w:val="22"/>
          <w:sz w:val="22"/>
          <w:lang w:val="pt-BR"/>
        </w:rPr>
        <w:t xml:space="preserve">[2] (2016). </w:t>
      </w:r>
      <w:r w:rsidR="00EE4714" w:rsidRPr="00E829F5">
        <w:rPr>
          <w:kern w:val="22"/>
          <w:sz w:val="22"/>
          <w:lang w:val="pt-BR"/>
        </w:rPr>
        <w:t>Série histórica da Dívida líquida e bruta do governo geral.</w:t>
      </w:r>
    </w:p>
    <w:p w14:paraId="71A769D7" w14:textId="12AF6E6C" w:rsidR="00EE4714" w:rsidRPr="00E829F5" w:rsidRDefault="00FB2464" w:rsidP="00AF420A">
      <w:pPr>
        <w:pStyle w:val="referencia-REP"/>
        <w:spacing w:beforeLines="60" w:before="144" w:afterLines="60" w:after="144"/>
        <w:contextualSpacing w:val="0"/>
        <w:rPr>
          <w:kern w:val="22"/>
          <w:sz w:val="22"/>
          <w:lang w:val="pt-BR"/>
        </w:rPr>
      </w:pPr>
      <w:r w:rsidRPr="008F45F1">
        <w:rPr>
          <w:kern w:val="22"/>
          <w:sz w:val="22"/>
          <w:lang w:val="pt-BR"/>
        </w:rPr>
        <w:t xml:space="preserve">BCB (Banco Central do Brasil) </w:t>
      </w:r>
      <w:r w:rsidR="00EE4714" w:rsidRPr="008F45F1">
        <w:rPr>
          <w:kern w:val="22"/>
          <w:sz w:val="22"/>
          <w:lang w:val="pt-BR"/>
        </w:rPr>
        <w:t xml:space="preserve">[3] (2016). </w:t>
      </w:r>
      <w:r w:rsidR="00EE4714" w:rsidRPr="00E829F5">
        <w:rPr>
          <w:kern w:val="22"/>
          <w:sz w:val="22"/>
          <w:lang w:val="pt-BR"/>
        </w:rPr>
        <w:t>Sistema Gerenciador de Séries Temporais (Código: 4189)</w:t>
      </w:r>
    </w:p>
    <w:p w14:paraId="3E944016" w14:textId="77777777" w:rsidR="00EE4714" w:rsidRPr="00462FF0" w:rsidRDefault="00801393" w:rsidP="00AF420A">
      <w:pPr>
        <w:pStyle w:val="referencia-REP"/>
        <w:spacing w:beforeLines="60" w:before="144" w:afterLines="60" w:after="144"/>
        <w:contextualSpacing w:val="0"/>
        <w:rPr>
          <w:kern w:val="22"/>
          <w:sz w:val="22"/>
        </w:rPr>
      </w:pPr>
      <w:r w:rsidRPr="00462FF0">
        <w:rPr>
          <w:kern w:val="22"/>
          <w:sz w:val="22"/>
        </w:rPr>
        <w:t xml:space="preserve">Bohn, H. (1998). </w:t>
      </w:r>
      <w:r w:rsidR="00227252" w:rsidRPr="00462FF0">
        <w:rPr>
          <w:kern w:val="22"/>
          <w:sz w:val="22"/>
        </w:rPr>
        <w:t>“</w:t>
      </w:r>
      <w:r w:rsidRPr="00462FF0">
        <w:rPr>
          <w:kern w:val="22"/>
          <w:sz w:val="22"/>
        </w:rPr>
        <w:t>The Behavior of U.S. Public Debt and D</w:t>
      </w:r>
      <w:r w:rsidR="00EE4714" w:rsidRPr="00462FF0">
        <w:rPr>
          <w:kern w:val="22"/>
          <w:sz w:val="22"/>
        </w:rPr>
        <w:t>eficits</w:t>
      </w:r>
      <w:r w:rsidR="00227252" w:rsidRPr="00462FF0">
        <w:rPr>
          <w:kern w:val="22"/>
          <w:sz w:val="22"/>
        </w:rPr>
        <w:t>”</w:t>
      </w:r>
      <w:r w:rsidR="00EE4714" w:rsidRPr="00462FF0">
        <w:rPr>
          <w:kern w:val="22"/>
          <w:sz w:val="22"/>
        </w:rPr>
        <w:t>. The Quarterly Journal of Economics, 113, 949-963.</w:t>
      </w:r>
    </w:p>
    <w:p w14:paraId="586B63E2" w14:textId="77777777" w:rsidR="00EE4714" w:rsidRPr="00462FF0" w:rsidRDefault="00EE4714" w:rsidP="00AF420A">
      <w:pPr>
        <w:pStyle w:val="referencia-REP"/>
        <w:spacing w:beforeLines="60" w:before="144" w:afterLines="60" w:after="144"/>
        <w:contextualSpacing w:val="0"/>
        <w:rPr>
          <w:kern w:val="22"/>
          <w:sz w:val="22"/>
        </w:rPr>
      </w:pPr>
      <w:r w:rsidRPr="00462FF0">
        <w:rPr>
          <w:kern w:val="22"/>
          <w:sz w:val="22"/>
        </w:rPr>
        <w:t>Campos</w:t>
      </w:r>
      <w:r w:rsidR="008259D9" w:rsidRPr="00462FF0">
        <w:rPr>
          <w:kern w:val="22"/>
          <w:sz w:val="22"/>
        </w:rPr>
        <w:t>, E. Lima</w:t>
      </w:r>
      <w:r w:rsidRPr="00462FF0">
        <w:rPr>
          <w:kern w:val="22"/>
          <w:sz w:val="22"/>
        </w:rPr>
        <w:t xml:space="preserve"> and </w:t>
      </w:r>
      <w:r w:rsidR="008259D9" w:rsidRPr="00462FF0">
        <w:rPr>
          <w:kern w:val="22"/>
          <w:sz w:val="22"/>
        </w:rPr>
        <w:t xml:space="preserve">Rubens P. </w:t>
      </w:r>
      <w:r w:rsidRPr="00462FF0">
        <w:rPr>
          <w:kern w:val="22"/>
          <w:sz w:val="22"/>
        </w:rPr>
        <w:t xml:space="preserve">Cysne (2018) </w:t>
      </w:r>
      <w:r w:rsidR="008259D9" w:rsidRPr="00462FF0">
        <w:rPr>
          <w:kern w:val="22"/>
          <w:sz w:val="22"/>
        </w:rPr>
        <w:t xml:space="preserve">“A Time-Varying Fiscal Reaction Function for </w:t>
      </w:r>
      <w:r w:rsidR="00801393" w:rsidRPr="00462FF0">
        <w:rPr>
          <w:kern w:val="22"/>
          <w:sz w:val="22"/>
        </w:rPr>
        <w:t>Brazil “</w:t>
      </w:r>
      <w:r w:rsidR="00E23DF1" w:rsidRPr="00462FF0">
        <w:rPr>
          <w:kern w:val="22"/>
          <w:sz w:val="22"/>
        </w:rPr>
        <w:t xml:space="preserve">Forthcoming, </w:t>
      </w:r>
      <w:r w:rsidR="008259D9" w:rsidRPr="00462FF0">
        <w:rPr>
          <w:kern w:val="22"/>
          <w:sz w:val="22"/>
        </w:rPr>
        <w:t>Estudos</w:t>
      </w:r>
      <w:r w:rsidR="00801393" w:rsidRPr="00462FF0">
        <w:rPr>
          <w:kern w:val="22"/>
          <w:sz w:val="22"/>
        </w:rPr>
        <w:t xml:space="preserve"> </w:t>
      </w:r>
      <w:r w:rsidR="008259D9" w:rsidRPr="00462FF0">
        <w:rPr>
          <w:kern w:val="22"/>
          <w:sz w:val="22"/>
        </w:rPr>
        <w:t>Econômicos - USP.</w:t>
      </w:r>
    </w:p>
    <w:p w14:paraId="2AE3B16A" w14:textId="77777777" w:rsidR="0011419E" w:rsidRPr="00462FF0" w:rsidRDefault="0011419E" w:rsidP="00AF420A">
      <w:pPr>
        <w:pStyle w:val="referencia-REP"/>
        <w:spacing w:beforeLines="60" w:before="144" w:afterLines="60" w:after="144"/>
        <w:contextualSpacing w:val="0"/>
        <w:rPr>
          <w:kern w:val="22"/>
          <w:sz w:val="22"/>
        </w:rPr>
      </w:pPr>
      <w:r w:rsidRPr="00462FF0">
        <w:rPr>
          <w:kern w:val="22"/>
          <w:sz w:val="22"/>
        </w:rPr>
        <w:t>Funcex. (n.d.). Retrieved 2018, from FuncexData: http://www.funcexdata.com.br</w:t>
      </w:r>
    </w:p>
    <w:p w14:paraId="7C1A00F4" w14:textId="77777777" w:rsidR="00EE4714" w:rsidRPr="00E829F5" w:rsidRDefault="00EE4714" w:rsidP="00AF420A">
      <w:pPr>
        <w:pStyle w:val="referencia-REP"/>
        <w:spacing w:beforeLines="60" w:before="144" w:afterLines="60" w:after="144"/>
        <w:contextualSpacing w:val="0"/>
        <w:rPr>
          <w:kern w:val="22"/>
          <w:sz w:val="22"/>
          <w:lang w:val="pt-BR"/>
        </w:rPr>
      </w:pPr>
      <w:r w:rsidRPr="00E829F5">
        <w:rPr>
          <w:kern w:val="22"/>
          <w:sz w:val="22"/>
          <w:lang w:val="pt-BR"/>
        </w:rPr>
        <w:t xml:space="preserve">Jesus, C. S. (2013). </w:t>
      </w:r>
      <w:r w:rsidR="00227252" w:rsidRPr="00E829F5">
        <w:rPr>
          <w:kern w:val="22"/>
          <w:sz w:val="22"/>
          <w:lang w:val="pt-BR"/>
        </w:rPr>
        <w:t>“</w:t>
      </w:r>
      <w:r w:rsidRPr="00E829F5">
        <w:rPr>
          <w:kern w:val="22"/>
          <w:sz w:val="22"/>
          <w:lang w:val="pt-BR"/>
        </w:rPr>
        <w:t>A Macroeconomia da Política</w:t>
      </w:r>
      <w:r w:rsidR="00801393" w:rsidRPr="00E829F5">
        <w:rPr>
          <w:kern w:val="22"/>
          <w:sz w:val="22"/>
          <w:lang w:val="pt-BR"/>
        </w:rPr>
        <w:t xml:space="preserve"> </w:t>
      </w:r>
      <w:r w:rsidRPr="00E829F5">
        <w:rPr>
          <w:kern w:val="22"/>
          <w:sz w:val="22"/>
          <w:lang w:val="pt-BR"/>
        </w:rPr>
        <w:t>Fiscal: Modelo Dinâmico e Evidências para o Brasil</w:t>
      </w:r>
      <w:r w:rsidR="00227252" w:rsidRPr="00E829F5">
        <w:rPr>
          <w:kern w:val="22"/>
          <w:sz w:val="22"/>
          <w:lang w:val="pt-BR"/>
        </w:rPr>
        <w:t>”</w:t>
      </w:r>
      <w:r w:rsidRPr="00E829F5">
        <w:rPr>
          <w:kern w:val="22"/>
          <w:sz w:val="22"/>
          <w:lang w:val="pt-BR"/>
        </w:rPr>
        <w:t>. Trabalho de final de curso, contemplado pelo XVIII Prêmio do Tesouro Nacional.</w:t>
      </w:r>
    </w:p>
    <w:p w14:paraId="0CA37B7E" w14:textId="77777777" w:rsidR="00EE4714" w:rsidRPr="00462FF0" w:rsidRDefault="00EE4714" w:rsidP="00AF420A">
      <w:pPr>
        <w:pStyle w:val="rodap-REP"/>
        <w:spacing w:beforeLines="60" w:before="144" w:afterLines="60" w:after="144"/>
        <w:rPr>
          <w:kern w:val="22"/>
          <w:sz w:val="22"/>
          <w:lang w:eastAsia="ar-SA"/>
        </w:rPr>
      </w:pPr>
      <w:r w:rsidRPr="00462FF0">
        <w:rPr>
          <w:kern w:val="22"/>
          <w:sz w:val="22"/>
          <w:lang w:eastAsia="ar-SA"/>
        </w:rPr>
        <w:t xml:space="preserve">Kalman, R.E. (1960). </w:t>
      </w:r>
      <w:r w:rsidR="00227252" w:rsidRPr="00462FF0">
        <w:rPr>
          <w:kern w:val="22"/>
          <w:sz w:val="22"/>
          <w:lang w:eastAsia="ar-SA"/>
        </w:rPr>
        <w:t>“</w:t>
      </w:r>
      <w:r w:rsidRPr="00462FF0">
        <w:rPr>
          <w:kern w:val="22"/>
          <w:sz w:val="22"/>
          <w:lang w:eastAsia="ar-SA"/>
        </w:rPr>
        <w:t>A new approach to linear filtering and prediction problems</w:t>
      </w:r>
      <w:r w:rsidR="00227252" w:rsidRPr="00462FF0">
        <w:rPr>
          <w:kern w:val="22"/>
          <w:sz w:val="22"/>
          <w:lang w:eastAsia="ar-SA"/>
        </w:rPr>
        <w:t>”</w:t>
      </w:r>
      <w:r w:rsidRPr="00462FF0">
        <w:rPr>
          <w:kern w:val="22"/>
          <w:sz w:val="22"/>
          <w:lang w:eastAsia="ar-SA"/>
        </w:rPr>
        <w:t xml:space="preserve">. </w:t>
      </w:r>
      <w:r w:rsidR="00F12471" w:rsidRPr="00462FF0">
        <w:rPr>
          <w:kern w:val="22"/>
          <w:sz w:val="22"/>
          <w:lang w:eastAsia="ar-SA"/>
        </w:rPr>
        <w:t xml:space="preserve">Journal of Basic Engineering, </w:t>
      </w:r>
      <w:r w:rsidRPr="00462FF0">
        <w:rPr>
          <w:kern w:val="22"/>
          <w:sz w:val="22"/>
          <w:lang w:eastAsia="ar-SA"/>
        </w:rPr>
        <w:t>82, 35-45.</w:t>
      </w:r>
    </w:p>
    <w:p w14:paraId="76C54525" w14:textId="77777777" w:rsidR="00EE4714" w:rsidRPr="00E829F5" w:rsidRDefault="00EE4714" w:rsidP="00AF420A">
      <w:pPr>
        <w:pStyle w:val="referencia-REP"/>
        <w:spacing w:beforeLines="60" w:before="144" w:afterLines="60" w:after="144"/>
        <w:contextualSpacing w:val="0"/>
        <w:rPr>
          <w:kern w:val="22"/>
          <w:sz w:val="22"/>
          <w:lang w:val="pt-BR"/>
        </w:rPr>
      </w:pPr>
      <w:r w:rsidRPr="00462FF0">
        <w:rPr>
          <w:kern w:val="22"/>
          <w:sz w:val="22"/>
        </w:rPr>
        <w:t>Kalman, R. E.&amp;</w:t>
      </w:r>
      <w:r w:rsidR="00E23DF1" w:rsidRPr="00462FF0">
        <w:rPr>
          <w:kern w:val="22"/>
          <w:sz w:val="22"/>
        </w:rPr>
        <w:t xml:space="preserve"> </w:t>
      </w:r>
      <w:r w:rsidRPr="00462FF0">
        <w:rPr>
          <w:kern w:val="22"/>
          <w:sz w:val="22"/>
        </w:rPr>
        <w:t xml:space="preserve">Bucy, R.S. (1961) </w:t>
      </w:r>
      <w:r w:rsidR="00227252" w:rsidRPr="00462FF0">
        <w:rPr>
          <w:kern w:val="22"/>
          <w:sz w:val="22"/>
        </w:rPr>
        <w:t>“</w:t>
      </w:r>
      <w:r w:rsidRPr="00462FF0">
        <w:rPr>
          <w:kern w:val="22"/>
          <w:sz w:val="22"/>
        </w:rPr>
        <w:t>New results in linear filtering and prediction theory</w:t>
      </w:r>
      <w:r w:rsidR="00227252" w:rsidRPr="00462FF0">
        <w:rPr>
          <w:kern w:val="22"/>
          <w:sz w:val="22"/>
        </w:rPr>
        <w:t>”</w:t>
      </w:r>
      <w:r w:rsidRPr="00462FF0">
        <w:rPr>
          <w:kern w:val="22"/>
          <w:sz w:val="22"/>
        </w:rPr>
        <w:t xml:space="preserve">. </w:t>
      </w:r>
      <w:r w:rsidR="00801393" w:rsidRPr="00E829F5">
        <w:rPr>
          <w:kern w:val="22"/>
          <w:sz w:val="22"/>
          <w:lang w:val="pt-BR"/>
        </w:rPr>
        <w:t>Journal of Basic Engin</w:t>
      </w:r>
      <w:r w:rsidRPr="00E829F5">
        <w:rPr>
          <w:kern w:val="22"/>
          <w:sz w:val="22"/>
          <w:lang w:val="pt-BR"/>
        </w:rPr>
        <w:t>e</w:t>
      </w:r>
      <w:r w:rsidR="00801393" w:rsidRPr="00E829F5">
        <w:rPr>
          <w:kern w:val="22"/>
          <w:sz w:val="22"/>
          <w:lang w:val="pt-BR"/>
        </w:rPr>
        <w:t>e</w:t>
      </w:r>
      <w:r w:rsidRPr="00E829F5">
        <w:rPr>
          <w:kern w:val="22"/>
          <w:sz w:val="22"/>
          <w:lang w:val="pt-BR"/>
        </w:rPr>
        <w:t>ring, 93. 85-108</w:t>
      </w:r>
    </w:p>
    <w:p w14:paraId="08FA9B60" w14:textId="77777777" w:rsidR="00EE4714" w:rsidRPr="00A71033" w:rsidRDefault="00EE4714" w:rsidP="00AF420A">
      <w:pPr>
        <w:pStyle w:val="referencia-REP"/>
        <w:spacing w:beforeLines="60" w:before="144" w:afterLines="60" w:after="144"/>
        <w:contextualSpacing w:val="0"/>
        <w:rPr>
          <w:kern w:val="22"/>
          <w:sz w:val="22"/>
          <w:lang w:val="pt-BR"/>
        </w:rPr>
      </w:pPr>
      <w:r w:rsidRPr="00A71033">
        <w:rPr>
          <w:kern w:val="22"/>
          <w:sz w:val="22"/>
          <w:lang w:val="pt-BR"/>
        </w:rPr>
        <w:t xml:space="preserve">Lopes, D. T. (2007). Função de reação da política fiscal e intolerância da dívida: o caso brasileiro no período pós-real. Master Thesis, Faculdade de Economia, Administração e Contabilidade de Ribeirão Preto, Universidade de São Paulo, Ribeirão Preto. </w:t>
      </w:r>
    </w:p>
    <w:p w14:paraId="112759F7" w14:textId="77777777" w:rsidR="00EE4714" w:rsidRPr="00E829F5" w:rsidRDefault="00EE4714" w:rsidP="00AF420A">
      <w:pPr>
        <w:pStyle w:val="referencia-REP"/>
        <w:spacing w:beforeLines="60" w:before="144" w:afterLines="60" w:after="144"/>
        <w:contextualSpacing w:val="0"/>
        <w:rPr>
          <w:kern w:val="22"/>
          <w:sz w:val="22"/>
          <w:lang w:val="pt-BR"/>
        </w:rPr>
      </w:pPr>
      <w:r w:rsidRPr="00A71033">
        <w:rPr>
          <w:kern w:val="22"/>
          <w:sz w:val="22"/>
          <w:lang w:val="pt-BR"/>
        </w:rPr>
        <w:t xml:space="preserve">Megale, C. (2003) </w:t>
      </w:r>
      <w:r w:rsidR="00227252" w:rsidRPr="00A71033">
        <w:rPr>
          <w:kern w:val="22"/>
          <w:sz w:val="22"/>
          <w:lang w:val="pt-BR"/>
        </w:rPr>
        <w:t>“</w:t>
      </w:r>
      <w:r w:rsidRPr="00A71033">
        <w:rPr>
          <w:kern w:val="22"/>
          <w:sz w:val="22"/>
          <w:lang w:val="pt-BR"/>
        </w:rPr>
        <w:t>Fatores externos e risco-país</w:t>
      </w:r>
      <w:r w:rsidR="00227252" w:rsidRPr="00A71033">
        <w:rPr>
          <w:kern w:val="22"/>
          <w:sz w:val="22"/>
          <w:lang w:val="pt-BR"/>
        </w:rPr>
        <w:t>”</w:t>
      </w:r>
      <w:r w:rsidRPr="00A71033">
        <w:rPr>
          <w:kern w:val="22"/>
          <w:sz w:val="22"/>
          <w:lang w:val="pt-BR"/>
        </w:rPr>
        <w:t xml:space="preserve">. </w:t>
      </w:r>
      <w:r w:rsidRPr="00E829F5">
        <w:rPr>
          <w:kern w:val="22"/>
          <w:sz w:val="22"/>
          <w:lang w:val="pt-BR"/>
        </w:rPr>
        <w:t>Dissertação de Mestrado, Dep</w:t>
      </w:r>
      <w:r w:rsidR="00F14349" w:rsidRPr="00E829F5">
        <w:rPr>
          <w:kern w:val="22"/>
          <w:sz w:val="22"/>
          <w:lang w:val="pt-BR"/>
        </w:rPr>
        <w:t>artamento</w:t>
      </w:r>
      <w:r w:rsidRPr="00E829F5">
        <w:rPr>
          <w:kern w:val="22"/>
          <w:sz w:val="22"/>
          <w:lang w:val="pt-BR"/>
        </w:rPr>
        <w:t xml:space="preserve"> de Economia, PUC-RIO, Rio de Janeiro</w:t>
      </w:r>
    </w:p>
    <w:p w14:paraId="2DB31307" w14:textId="77777777" w:rsidR="00EE4714" w:rsidRPr="00462FF0" w:rsidRDefault="00EE4714" w:rsidP="00AF420A">
      <w:pPr>
        <w:pStyle w:val="referencia-REP"/>
        <w:spacing w:beforeLines="60" w:before="144" w:afterLines="60" w:after="144"/>
        <w:contextualSpacing w:val="0"/>
        <w:rPr>
          <w:kern w:val="22"/>
          <w:sz w:val="22"/>
        </w:rPr>
      </w:pPr>
      <w:r w:rsidRPr="00462FF0">
        <w:rPr>
          <w:kern w:val="22"/>
          <w:sz w:val="22"/>
        </w:rPr>
        <w:t>Nguyen, P. (2007), “Macroeconomic factors and Japan’s industry risk”, Journal of Multinational</w:t>
      </w:r>
      <w:r w:rsidR="00E23DF1" w:rsidRPr="00462FF0">
        <w:rPr>
          <w:kern w:val="22"/>
          <w:sz w:val="22"/>
        </w:rPr>
        <w:t xml:space="preserve"> </w:t>
      </w:r>
      <w:r w:rsidRPr="00462FF0">
        <w:rPr>
          <w:kern w:val="22"/>
          <w:sz w:val="22"/>
        </w:rPr>
        <w:t>Financial Managemen</w:t>
      </w:r>
      <w:r w:rsidR="00227252" w:rsidRPr="00462FF0">
        <w:rPr>
          <w:kern w:val="22"/>
          <w:sz w:val="22"/>
        </w:rPr>
        <w:t>t</w:t>
      </w:r>
      <w:r w:rsidRPr="00462FF0">
        <w:rPr>
          <w:kern w:val="22"/>
          <w:sz w:val="22"/>
        </w:rPr>
        <w:t>, 17, pp. 173-185</w:t>
      </w:r>
    </w:p>
    <w:p w14:paraId="49EDB328" w14:textId="77777777" w:rsidR="00EE4714" w:rsidRPr="00E829F5" w:rsidRDefault="00EE4714" w:rsidP="00AF420A">
      <w:pPr>
        <w:pStyle w:val="referencia-REP"/>
        <w:spacing w:beforeLines="60" w:before="144" w:afterLines="60" w:after="144"/>
        <w:contextualSpacing w:val="0"/>
        <w:rPr>
          <w:kern w:val="22"/>
          <w:sz w:val="22"/>
          <w:lang w:val="pt-BR"/>
        </w:rPr>
      </w:pPr>
      <w:r w:rsidRPr="00E829F5">
        <w:rPr>
          <w:kern w:val="22"/>
          <w:sz w:val="22"/>
          <w:lang w:val="pt-BR"/>
        </w:rPr>
        <w:t>IBGE (2016). Séries Históricas.</w:t>
      </w:r>
    </w:p>
    <w:p w14:paraId="3EFEE78A" w14:textId="77777777" w:rsidR="00EE4714" w:rsidRPr="00E829F5" w:rsidRDefault="00EE4714" w:rsidP="00AF420A">
      <w:pPr>
        <w:pStyle w:val="referencia-REP"/>
        <w:spacing w:beforeLines="60" w:before="144" w:afterLines="60" w:after="144"/>
        <w:contextualSpacing w:val="0"/>
        <w:rPr>
          <w:kern w:val="22"/>
          <w:sz w:val="22"/>
          <w:lang w:val="en-US"/>
        </w:rPr>
      </w:pPr>
      <w:r w:rsidRPr="00A71033">
        <w:rPr>
          <w:kern w:val="22"/>
          <w:sz w:val="22"/>
          <w:lang w:val="pt-BR"/>
        </w:rPr>
        <w:t xml:space="preserve">IBRE, FGV. </w:t>
      </w:r>
      <w:r w:rsidRPr="00E829F5">
        <w:rPr>
          <w:kern w:val="22"/>
          <w:sz w:val="22"/>
          <w:lang w:val="en-US"/>
        </w:rPr>
        <w:t>Monitor do PIB.</w:t>
      </w:r>
    </w:p>
    <w:p w14:paraId="54056316" w14:textId="77777777" w:rsidR="00FB2464" w:rsidRPr="00462FF0" w:rsidRDefault="00A030DB" w:rsidP="00AF420A">
      <w:pPr>
        <w:pStyle w:val="referencia-REP"/>
        <w:spacing w:beforeLines="60" w:before="144" w:afterLines="60" w:after="144"/>
        <w:contextualSpacing w:val="0"/>
        <w:rPr>
          <w:kern w:val="22"/>
          <w:sz w:val="22"/>
        </w:rPr>
      </w:pPr>
      <w:r w:rsidRPr="00462FF0">
        <w:rPr>
          <w:kern w:val="22"/>
          <w:sz w:val="22"/>
        </w:rPr>
        <w:t>Ipea. (n.d.). Retrieved August 2018, from Ipeadata: http://www.ipeadata.gov.br</w:t>
      </w:r>
      <w:r w:rsidR="00FB2464" w:rsidRPr="00462FF0">
        <w:rPr>
          <w:kern w:val="22"/>
          <w:sz w:val="22"/>
        </w:rPr>
        <w:t xml:space="preserve"> </w:t>
      </w:r>
    </w:p>
    <w:p w14:paraId="6DB7278B" w14:textId="77777777" w:rsidR="00EE4714" w:rsidRPr="00462FF0" w:rsidRDefault="00A030DB" w:rsidP="00AF420A">
      <w:pPr>
        <w:pStyle w:val="referencia-REP"/>
        <w:spacing w:beforeLines="60" w:before="144" w:afterLines="60" w:after="144"/>
        <w:contextualSpacing w:val="0"/>
        <w:rPr>
          <w:kern w:val="22"/>
          <w:sz w:val="22"/>
        </w:rPr>
      </w:pPr>
      <w:r w:rsidRPr="00462FF0">
        <w:rPr>
          <w:kern w:val="22"/>
          <w:sz w:val="22"/>
        </w:rPr>
        <w:t>Standard and Poor's. (n.d.). R</w:t>
      </w:r>
      <w:r w:rsidR="0011419E" w:rsidRPr="00462FF0">
        <w:rPr>
          <w:kern w:val="22"/>
          <w:sz w:val="22"/>
        </w:rPr>
        <w:t xml:space="preserve">etrieved 2018, from S&amp;P Global: </w:t>
      </w:r>
      <w:r w:rsidRPr="00462FF0">
        <w:rPr>
          <w:kern w:val="22"/>
          <w:sz w:val="22"/>
        </w:rPr>
        <w:t>https://www.standardandpoors.com</w:t>
      </w:r>
    </w:p>
    <w:p w14:paraId="2674F68F" w14:textId="77777777" w:rsidR="00EE4714" w:rsidRPr="00462FF0" w:rsidRDefault="00EE4714" w:rsidP="00AF420A">
      <w:pPr>
        <w:pStyle w:val="referencia-REP"/>
        <w:spacing w:beforeLines="60" w:before="144" w:afterLines="60" w:after="144"/>
        <w:contextualSpacing w:val="0"/>
        <w:rPr>
          <w:kern w:val="22"/>
          <w:sz w:val="22"/>
        </w:rPr>
      </w:pPr>
      <w:r w:rsidRPr="00462FF0">
        <w:rPr>
          <w:kern w:val="22"/>
          <w:sz w:val="22"/>
        </w:rPr>
        <w:t xml:space="preserve">Tesouro Nacional (2016). </w:t>
      </w:r>
      <w:r w:rsidR="00F14349" w:rsidRPr="00462FF0">
        <w:rPr>
          <w:kern w:val="22"/>
          <w:sz w:val="22"/>
        </w:rPr>
        <w:t>Several publications</w:t>
      </w:r>
      <w:r w:rsidRPr="00462FF0">
        <w:rPr>
          <w:kern w:val="22"/>
          <w:sz w:val="22"/>
        </w:rPr>
        <w:t>.</w:t>
      </w:r>
    </w:p>
    <w:sectPr w:rsidR="00EE4714" w:rsidRPr="00462FF0" w:rsidSect="00F14349">
      <w:footerReference w:type="default" r:id="rId11"/>
      <w:pgSz w:w="11910" w:h="16840"/>
      <w:pgMar w:top="1701" w:right="1134" w:bottom="1134" w:left="1701" w:header="0" w:footer="18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B15DF" w14:textId="77777777" w:rsidR="00094C8D" w:rsidRDefault="00094C8D">
      <w:r>
        <w:separator/>
      </w:r>
    </w:p>
  </w:endnote>
  <w:endnote w:type="continuationSeparator" w:id="0">
    <w:p w14:paraId="5DC66114" w14:textId="77777777" w:rsidR="00094C8D" w:rsidRDefault="00094C8D">
      <w:r>
        <w:continuationSeparator/>
      </w:r>
    </w:p>
  </w:endnote>
  <w:endnote w:type="continuationNotice" w:id="1">
    <w:p w14:paraId="426FF890" w14:textId="77777777" w:rsidR="00094C8D" w:rsidRDefault="00094C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C580B" w14:textId="44C5D919" w:rsidR="00483775" w:rsidRDefault="00483775">
    <w:pPr>
      <w:pStyle w:val="Rodap"/>
      <w:jc w:val="center"/>
    </w:pPr>
    <w:r>
      <w:fldChar w:fldCharType="begin"/>
    </w:r>
    <w:r>
      <w:instrText>PAGE   \* MERGEFORMAT</w:instrText>
    </w:r>
    <w:r>
      <w:fldChar w:fldCharType="separate"/>
    </w:r>
    <w:r w:rsidR="00BB4EF6">
      <w:rPr>
        <w:noProof/>
      </w:rPr>
      <w:t>1</w:t>
    </w:r>
    <w:r>
      <w:fldChar w:fldCharType="end"/>
    </w:r>
  </w:p>
  <w:p w14:paraId="3C2A8C11" w14:textId="77777777" w:rsidR="00483775" w:rsidRDefault="00483775">
    <w:pPr>
      <w:pStyle w:val="Corpodetexto"/>
      <w:spacing w:line="14" w:lineRule="auto"/>
      <w:rPr>
        <w:sz w:val="20"/>
      </w:rPr>
    </w:pPr>
  </w:p>
  <w:p w14:paraId="474C3B7F" w14:textId="77777777" w:rsidR="00483775" w:rsidRDefault="004837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CCE32" w14:textId="77777777" w:rsidR="00094C8D" w:rsidRDefault="00094C8D">
      <w:r>
        <w:separator/>
      </w:r>
    </w:p>
  </w:footnote>
  <w:footnote w:type="continuationSeparator" w:id="0">
    <w:p w14:paraId="370A2D76" w14:textId="77777777" w:rsidR="00094C8D" w:rsidRDefault="00094C8D">
      <w:r>
        <w:continuationSeparator/>
      </w:r>
    </w:p>
  </w:footnote>
  <w:footnote w:type="continuationNotice" w:id="1">
    <w:p w14:paraId="4B2FA838" w14:textId="77777777" w:rsidR="00094C8D" w:rsidRDefault="00094C8D"/>
  </w:footnote>
  <w:footnote w:id="2">
    <w:p w14:paraId="489A640A" w14:textId="16EDF11E" w:rsidR="00483775" w:rsidRPr="00E829F5" w:rsidRDefault="00483775" w:rsidP="00E829F5">
      <w:pPr>
        <w:jc w:val="both"/>
        <w:rPr>
          <w:rFonts w:eastAsia="Times New Roman"/>
          <w:color w:val="auto"/>
          <w:sz w:val="16"/>
          <w:szCs w:val="16"/>
        </w:rPr>
      </w:pPr>
      <w:r w:rsidRPr="00E829F5">
        <w:rPr>
          <w:rStyle w:val="Refdenotaderodap"/>
          <w:rFonts w:eastAsiaTheme="minorEastAsia" w:cstheme="minorBidi"/>
          <w:color w:val="000000" w:themeColor="text1"/>
          <w:sz w:val="16"/>
          <w:szCs w:val="22"/>
          <w:lang w:val="en-GB" w:eastAsia="es-ES"/>
        </w:rPr>
        <w:footnoteRef/>
      </w:r>
      <w:r w:rsidRPr="00E829F5">
        <w:rPr>
          <w:rStyle w:val="Refdenotaderodap"/>
          <w:color w:val="000000" w:themeColor="text1"/>
        </w:rPr>
        <w:t xml:space="preserve"> </w:t>
      </w:r>
      <w:r w:rsidRPr="00A71033">
        <w:rPr>
          <w:rFonts w:eastAsiaTheme="minorEastAsia" w:cstheme="minorBidi"/>
          <w:color w:val="00000A"/>
          <w:sz w:val="16"/>
          <w:szCs w:val="22"/>
          <w:lang w:eastAsia="es-ES"/>
        </w:rPr>
        <w:t xml:space="preserve">Professor at </w:t>
      </w:r>
      <w:r>
        <w:rPr>
          <w:rFonts w:eastAsiaTheme="minorEastAsia" w:cstheme="minorBidi"/>
          <w:color w:val="00000A"/>
          <w:sz w:val="16"/>
          <w:szCs w:val="22"/>
          <w:lang w:eastAsia="es-ES"/>
        </w:rPr>
        <w:t>the</w:t>
      </w:r>
      <w:r w:rsidRPr="00E829F5">
        <w:rPr>
          <w:rFonts w:eastAsiaTheme="minorEastAsia" w:cstheme="minorBidi"/>
          <w:color w:val="00000A"/>
          <w:sz w:val="16"/>
          <w:szCs w:val="22"/>
          <w:lang w:eastAsia="es-ES"/>
        </w:rPr>
        <w:t xml:space="preserve"> Escola Nacional de Ciências Estatísticas do Instituto Brasileiro de Geografia e Estatística</w:t>
      </w:r>
      <w:r w:rsidRPr="00F14349">
        <w:rPr>
          <w:sz w:val="16"/>
          <w:szCs w:val="16"/>
          <w:shd w:val="clear" w:color="auto" w:fill="FFFFFF"/>
        </w:rPr>
        <w:t xml:space="preserve"> – ENCE/IBGE, Rio de Janeiro/RJ, Brasil</w:t>
      </w:r>
      <w:r>
        <w:rPr>
          <w:sz w:val="16"/>
          <w:szCs w:val="16"/>
          <w:shd w:val="clear" w:color="auto" w:fill="FFFFFF"/>
        </w:rPr>
        <w:t xml:space="preserve"> and at the </w:t>
      </w:r>
      <w:r w:rsidRPr="00E829F5">
        <w:rPr>
          <w:sz w:val="16"/>
          <w:szCs w:val="16"/>
          <w:shd w:val="clear" w:color="auto" w:fill="FFFFFF"/>
        </w:rPr>
        <w:t>EPGE Escola Brasileira de Economia e Finanças da Fundação Getúlio Vargas (EPGE FGV), Rio de Janeiro/RJ, Brasil. E-mail: eduardolimacampos@yahoo.com.br.</w:t>
      </w:r>
    </w:p>
  </w:footnote>
  <w:footnote w:id="3">
    <w:p w14:paraId="65FC9EEF" w14:textId="7B0F3A51" w:rsidR="00483775" w:rsidRPr="00E829F5" w:rsidRDefault="00483775">
      <w:pPr>
        <w:pStyle w:val="rodap-REP"/>
        <w:rPr>
          <w:lang w:val="en-US"/>
        </w:rPr>
      </w:pPr>
      <w:r w:rsidRPr="006308F6">
        <w:rPr>
          <w:rStyle w:val="Refdenotaderodap"/>
          <w:color w:val="000000" w:themeColor="text1"/>
        </w:rPr>
        <w:footnoteRef/>
      </w:r>
      <w:r w:rsidRPr="004B36BD">
        <w:rPr>
          <w:lang w:val="pt-BR"/>
        </w:rPr>
        <w:t xml:space="preserve"> Professor at </w:t>
      </w:r>
      <w:r>
        <w:rPr>
          <w:lang w:val="pt-BR"/>
        </w:rPr>
        <w:t xml:space="preserve">the EPGE </w:t>
      </w:r>
      <w:r w:rsidRPr="00F14349">
        <w:rPr>
          <w:lang w:val="pt-BR"/>
        </w:rPr>
        <w:t>Escola Brasileira de Economia e Finan</w:t>
      </w:r>
      <w:r>
        <w:rPr>
          <w:lang w:val="pt-BR"/>
        </w:rPr>
        <w:t>ças da Fundação Getúlio Vargas (EPGE FGV), Rio de Janeiro/RJ, Brasil</w:t>
      </w:r>
      <w:r w:rsidRPr="00F14349">
        <w:rPr>
          <w:lang w:val="pt-BR"/>
        </w:rPr>
        <w:t>.</w:t>
      </w:r>
      <w:r w:rsidRPr="004B36BD">
        <w:rPr>
          <w:lang w:val="pt-BR"/>
        </w:rPr>
        <w:t xml:space="preserve"> </w:t>
      </w:r>
      <w:r w:rsidRPr="00E829F5">
        <w:rPr>
          <w:lang w:val="en-US"/>
        </w:rPr>
        <w:t xml:space="preserve">E-mail: </w:t>
      </w:r>
      <w:hyperlink r:id="rId1" w:history="1">
        <w:r w:rsidRPr="00E829F5">
          <w:rPr>
            <w:rStyle w:val="Hyperlink"/>
            <w:lang w:val="en-US"/>
          </w:rPr>
          <w:t>rubens.cysne@fgv.br</w:t>
        </w:r>
      </w:hyperlink>
      <w:r w:rsidRPr="00E829F5">
        <w:rPr>
          <w:lang w:val="en-US"/>
        </w:rPr>
        <w:t>.</w:t>
      </w:r>
    </w:p>
    <w:p w14:paraId="2E35D717" w14:textId="48C96418" w:rsidR="00483775" w:rsidRPr="00790D3F" w:rsidRDefault="00483775">
      <w:pPr>
        <w:pStyle w:val="rodap-REP"/>
      </w:pPr>
      <w:r>
        <w:t>Submitted: July 14, 2018; Approved: August 16, 2018.</w:t>
      </w:r>
    </w:p>
  </w:footnote>
  <w:footnote w:id="4">
    <w:p w14:paraId="0FD61A71" w14:textId="36E29FD7" w:rsidR="00483775" w:rsidRPr="006A0603" w:rsidRDefault="00483775" w:rsidP="006A0603">
      <w:pPr>
        <w:pStyle w:val="rodap-REP"/>
      </w:pPr>
      <w:r w:rsidRPr="00F03060">
        <w:rPr>
          <w:rStyle w:val="Refdenotaderodap"/>
          <w:vertAlign w:val="baseline"/>
        </w:rPr>
        <w:footnoteRef/>
      </w:r>
      <w:r>
        <w:t xml:space="preserve"> </w:t>
      </w:r>
      <w:r w:rsidRPr="006A0603">
        <w:t xml:space="preserve">Considering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Pr="006A0603">
        <w:t xml:space="preserve"> as the gross debt would imply disregarding the government assets and the remuneration thereof, which would result in equation </w:t>
      </w:r>
      <w:r>
        <w:t>(</w:t>
      </w:r>
      <w:r w:rsidRPr="006A0603">
        <w:t xml:space="preserve">1) describing just an approximation for the debt evolution. Equation </w:t>
      </w:r>
      <w:r>
        <w:t>(</w:t>
      </w:r>
      <w:r w:rsidRPr="006A0603">
        <w:t>1) applies only to net debt, assuming an equal interest rate accruing on government’s both assets and liabilities.</w:t>
      </w:r>
    </w:p>
  </w:footnote>
  <w:footnote w:id="5">
    <w:p w14:paraId="7CC51893" w14:textId="77777777" w:rsidR="00483775" w:rsidRPr="006A0603" w:rsidRDefault="00483775" w:rsidP="006A0603">
      <w:pPr>
        <w:pStyle w:val="rodap-REP"/>
      </w:pPr>
      <w:r w:rsidRPr="006A0603">
        <w:rPr>
          <w:rStyle w:val="Refdenotaderodap"/>
          <w:vertAlign w:val="baseline"/>
        </w:rPr>
        <w:footnoteRef/>
      </w:r>
      <w:r w:rsidRPr="006A0603">
        <w:t xml:space="preserve"> The reaction function does not establish whether surpluses are generated by an increase in revenue or a containment of expenses. As a possible alternative, for example, Nguyen (2007) and Jesus (2013) specify their fiscal reaction functions with revenue and expenditure, respectively, as dependent variable.</w:t>
      </w:r>
    </w:p>
  </w:footnote>
  <w:footnote w:id="6">
    <w:p w14:paraId="304CBAA9" w14:textId="77777777" w:rsidR="00483775" w:rsidRPr="006A0603" w:rsidRDefault="00483775" w:rsidP="006A0603">
      <w:pPr>
        <w:pStyle w:val="rodap-REP"/>
      </w:pPr>
      <w:r w:rsidRPr="006A0603">
        <w:rPr>
          <w:rStyle w:val="Refdenotaderodap"/>
          <w:vertAlign w:val="baseline"/>
        </w:rPr>
        <w:footnoteRef/>
      </w:r>
      <w:r w:rsidRPr="006A0603">
        <w:t xml:space="preserve"> For simplicity, the term </w:t>
      </w:r>
      <m:oMath>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oMath>
      <w:r w:rsidRPr="006A0603">
        <w:t>is supposed to be convergent and is omitted in the stability analysis; for the present purpose we are only interested in the characteristic root of the homoge</w:t>
      </w:r>
      <w:r>
        <w:t xml:space="preserve">nous difference equation in </w:t>
      </w:r>
      <m:oMath>
        <m:sSub>
          <m:sSubPr>
            <m:ctrlPr>
              <w:rPr>
                <w:rFonts w:ascii="Cambria Math" w:hAnsi="Cambria Math"/>
                <w:i/>
              </w:rPr>
            </m:ctrlPr>
          </m:sSubPr>
          <m:e>
            <m:r>
              <w:rPr>
                <w:rFonts w:ascii="Cambria Math" w:hAnsi="Cambria Math"/>
              </w:rPr>
              <m:t>b</m:t>
            </m:r>
          </m:e>
          <m:sub>
            <m:r>
              <w:rPr>
                <w:rFonts w:ascii="Cambria Math" w:hAnsi="Cambria Math"/>
              </w:rPr>
              <m:t>t.</m:t>
            </m:r>
          </m:sub>
        </m:sSub>
      </m:oMath>
    </w:p>
  </w:footnote>
  <w:footnote w:id="7">
    <w:p w14:paraId="790CFFA8" w14:textId="77777777" w:rsidR="00483775" w:rsidRPr="006A0603" w:rsidRDefault="00483775" w:rsidP="006A0603">
      <w:pPr>
        <w:pStyle w:val="rodap-REP"/>
      </w:pPr>
      <w:r w:rsidRPr="006A0603">
        <w:rPr>
          <w:rStyle w:val="Refdenotaderodap"/>
          <w:vertAlign w:val="baseline"/>
        </w:rPr>
        <w:footnoteRef/>
      </w:r>
      <w:r>
        <w:t xml:space="preserve"> </w:t>
      </w:r>
      <w:r w:rsidRPr="006A0603">
        <w:t>Some studies use the industrial production index or IBC-Br of the Brazilian Central Bank, however these series are only proxies for the Real GDP.</w:t>
      </w:r>
    </w:p>
  </w:footnote>
  <w:footnote w:id="8">
    <w:p w14:paraId="02B8CE24" w14:textId="77777777" w:rsidR="00483775" w:rsidRPr="006A0603" w:rsidRDefault="00483775" w:rsidP="006A0603">
      <w:pPr>
        <w:pStyle w:val="rodap-REP"/>
      </w:pPr>
      <w:r w:rsidRPr="006A0603">
        <w:rPr>
          <w:rStyle w:val="Refdenotaderodap"/>
          <w:vertAlign w:val="baseline"/>
        </w:rPr>
        <w:footnoteRef/>
      </w:r>
      <w:r>
        <w:t xml:space="preserve"> </w:t>
      </w:r>
      <w:r w:rsidRPr="006A0603">
        <w:t xml:space="preserve">Sources - Net consolidated debt of the public sector, nominal gross domestic product, annualized implicit interest rate, export volume and net external liabilities: </w:t>
      </w:r>
      <w:hyperlink r:id="rId2" w:history="1">
        <w:r w:rsidRPr="006A0603">
          <w:rPr>
            <w:rStyle w:val="Hyperlink"/>
            <w:color w:val="00000A"/>
            <w:u w:val="none"/>
          </w:rPr>
          <w:t>http://www.bcb.gov.br</w:t>
        </w:r>
      </w:hyperlink>
      <w:r w:rsidRPr="006A0603">
        <w:t xml:space="preserve">; consolidated primary surplus of the public sector: </w:t>
      </w:r>
      <w:hyperlink r:id="rId3" w:history="1">
        <w:r w:rsidRPr="006A0603">
          <w:rPr>
            <w:rStyle w:val="Hyperlink"/>
            <w:color w:val="00000A"/>
            <w:u w:val="none"/>
          </w:rPr>
          <w:t>http://www.tesouro.fazenda.gov.br</w:t>
        </w:r>
      </w:hyperlink>
      <w:r w:rsidRPr="006A0603">
        <w:t xml:space="preserve">; EMBI: </w:t>
      </w:r>
      <w:hyperlink r:id="rId4" w:history="1">
        <w:r w:rsidRPr="006A0603">
          <w:rPr>
            <w:rStyle w:val="Hyperlink"/>
            <w:color w:val="00000A"/>
            <w:u w:val="none"/>
          </w:rPr>
          <w:t>http://www.ipeadata.gov.br</w:t>
        </w:r>
      </w:hyperlink>
      <w:r w:rsidRPr="006A0603">
        <w:t xml:space="preserve">; S&amp;P ratings: </w:t>
      </w:r>
      <w:hyperlink r:id="rId5" w:history="1">
        <w:r w:rsidRPr="006A0603">
          <w:rPr>
            <w:rStyle w:val="Hyperlink"/>
            <w:color w:val="00000A"/>
            <w:u w:val="none"/>
          </w:rPr>
          <w:t>https://www.standardandpoors.com</w:t>
        </w:r>
      </w:hyperlink>
      <w:r w:rsidRPr="006A0603">
        <w:t xml:space="preserve">; Inflation: </w:t>
      </w:r>
      <w:hyperlink r:id="rId6" w:history="1">
        <w:r w:rsidRPr="006A0603">
          <w:rPr>
            <w:rStyle w:val="Hyperlink"/>
            <w:color w:val="00000A"/>
            <w:u w:val="none"/>
          </w:rPr>
          <w:t>http://www.ibge.gov.br</w:t>
        </w:r>
      </w:hyperlink>
      <w:r w:rsidRPr="006A0603">
        <w:rPr>
          <w:rStyle w:val="Hyperlink"/>
          <w:color w:val="00000A"/>
          <w:u w:val="none"/>
        </w:rPr>
        <w:t xml:space="preserve"> </w:t>
      </w:r>
      <w:r w:rsidRPr="006A0603">
        <w:t xml:space="preserve">and exchange terms: </w:t>
      </w:r>
      <w:hyperlink r:id="rId7" w:history="1">
        <w:r w:rsidRPr="006A0603">
          <w:rPr>
            <w:rStyle w:val="Hyperlink"/>
            <w:color w:val="00000A"/>
            <w:u w:val="none"/>
          </w:rPr>
          <w:t>www.funcex.org.br</w:t>
        </w:r>
      </w:hyperlink>
      <w:r w:rsidRPr="006A0603">
        <w:t xml:space="preserve">. </w:t>
      </w:r>
    </w:p>
  </w:footnote>
  <w:footnote w:id="9">
    <w:p w14:paraId="06C8E32B" w14:textId="2FDFE9D8" w:rsidR="00483775" w:rsidRPr="006A0603" w:rsidRDefault="00483775" w:rsidP="006A0603">
      <w:pPr>
        <w:pStyle w:val="rodap-REP"/>
      </w:pPr>
      <w:r w:rsidRPr="006A0603">
        <w:rPr>
          <w:rStyle w:val="Refdenotaderodap"/>
          <w:vertAlign w:val="baseline"/>
        </w:rPr>
        <w:footnoteRef/>
      </w:r>
      <w:r w:rsidRPr="006A0603">
        <w:t xml:space="preserve"> It is assumed that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t xml:space="preserve"> </w:t>
      </w:r>
      <w:r w:rsidRPr="006A0603">
        <w:t>is the gross rate on public debt, i.e., without deducing the portion that returns to the government in the form of taxes on interest, such taxes being included in the variable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6A0603">
        <w:t xml:space="preserve">. The alternative of considering it as the net rate and not including in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6A0603">
        <w:t xml:space="preserve"> the taxes on interest would not change the results.</w:t>
      </w:r>
    </w:p>
  </w:footnote>
  <w:footnote w:id="10">
    <w:p w14:paraId="63BFA2EA" w14:textId="5FFE6B05" w:rsidR="00483775" w:rsidRPr="006A0603" w:rsidRDefault="00483775" w:rsidP="006A0603">
      <w:pPr>
        <w:pStyle w:val="rodap-REP"/>
      </w:pPr>
      <w:r w:rsidRPr="006A0603">
        <w:rPr>
          <w:rStyle w:val="Refdenotaderodap"/>
          <w:vertAlign w:val="baseline"/>
        </w:rPr>
        <w:footnoteRef/>
      </w:r>
      <w:r>
        <w:t xml:space="preserve"> </w:t>
      </w:r>
      <w:r w:rsidRPr="006A0603">
        <w:t xml:space="preserve">See Lopes (2007), and Megale (2003). The EMBI+ is an index based on debt securities issued by emerging countries, reflecting the difference between the rate of return on these securities and the return on US Treasury bills. The classifications have been converted into a numerical variable as follows: D (defaulter) = 0; SD = 1; CC = 2; CCC- = 2.5; CCC = 3; CCC+ = 3.5; B- = 4; adding 1 point for each promotion. For the positive (negative) concepts attributed by S&amp;P, an increase (decrease) of 0.25 is considered. </w:t>
      </w:r>
    </w:p>
  </w:footnote>
  <w:footnote w:id="11">
    <w:p w14:paraId="47A551D7" w14:textId="23F06771" w:rsidR="00483775" w:rsidRPr="006A0603" w:rsidRDefault="00483775" w:rsidP="006A0603">
      <w:pPr>
        <w:pStyle w:val="rodap-REP"/>
      </w:pPr>
      <w:r w:rsidRPr="006A0603">
        <w:rPr>
          <w:rStyle w:val="Refdenotaderodap"/>
          <w:vertAlign w:val="baseline"/>
        </w:rPr>
        <w:footnoteRef/>
      </w:r>
      <w:r>
        <w:t xml:space="preserve"> </w:t>
      </w:r>
      <w:r w:rsidRPr="006A0603">
        <w:t xml:space="preserve">To implement the Kalman filter, the dlm function of the software “R” was used. </w:t>
      </w:r>
    </w:p>
  </w:footnote>
  <w:footnote w:id="12">
    <w:p w14:paraId="2C416DCA" w14:textId="33590046" w:rsidR="00483775" w:rsidRPr="006A0603" w:rsidRDefault="00483775" w:rsidP="006A0603">
      <w:pPr>
        <w:pStyle w:val="rodap-REP"/>
      </w:pPr>
      <w:r w:rsidRPr="006A0603">
        <w:rPr>
          <w:rStyle w:val="Refdenotaderodap"/>
          <w:vertAlign w:val="baseline"/>
        </w:rPr>
        <w:footnoteRef/>
      </w:r>
      <w:r>
        <w:t xml:space="preserve"> </w:t>
      </w:r>
      <w:r w:rsidRPr="006A0603">
        <w:t xml:space="preserve">Given the similarity of the results, as well as the </w:t>
      </w:r>
      <w:r>
        <w:t>figures</w:t>
      </w:r>
      <w:r w:rsidRPr="006A0603">
        <w:t xml:space="preserve"> 1 and 2 for the </w:t>
      </w:r>
      <w:r>
        <w:t>Consolidated Public Sector</w:t>
      </w:r>
      <w:r w:rsidRPr="006A0603">
        <w:t xml:space="preserve"> and for the general government, henceforth we shall focus only on the </w:t>
      </w:r>
      <w:r>
        <w:t>Consolidated Public Sector</w:t>
      </w:r>
      <w:r w:rsidRPr="006A0603">
        <w:t>. By way of illustration, the estim</w:t>
      </w:r>
      <w:r>
        <w:t xml:space="preserve">ated reaction coefficient (June </w:t>
      </w:r>
      <w:r w:rsidRPr="006A0603">
        <w:t>2018) for the general government was -0.0258, a value statistically equal to the -0,027 presented in the equation below.</w:t>
      </w:r>
    </w:p>
    <w:p w14:paraId="651D9933" w14:textId="77777777" w:rsidR="00483775" w:rsidRPr="006A0603" w:rsidRDefault="00483775" w:rsidP="00AD1739">
      <w:pPr>
        <w:pStyle w:val="Textodenotaderodap"/>
        <w:rPr>
          <w:sz w:val="8"/>
          <w:szCs w:val="12"/>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3C70"/>
    <w:multiLevelType w:val="multilevel"/>
    <w:tmpl w:val="BCAA7C86"/>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 w15:restartNumberingAfterBreak="0">
    <w:nsid w:val="02C55E26"/>
    <w:multiLevelType w:val="hybridMultilevel"/>
    <w:tmpl w:val="63E85656"/>
    <w:lvl w:ilvl="0" w:tplc="0C92B01E">
      <w:start w:val="6"/>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6715E8E"/>
    <w:multiLevelType w:val="hybridMultilevel"/>
    <w:tmpl w:val="63D0B3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066C73"/>
    <w:multiLevelType w:val="multilevel"/>
    <w:tmpl w:val="A6708C48"/>
    <w:lvl w:ilvl="0">
      <w:start w:val="5"/>
      <w:numFmt w:val="decimal"/>
      <w:lvlText w:val="%1"/>
      <w:lvlJc w:val="left"/>
      <w:pPr>
        <w:ind w:left="360" w:hanging="360"/>
      </w:pPr>
      <w:rPr>
        <w:rFonts w:hint="default"/>
      </w:rPr>
    </w:lvl>
    <w:lvl w:ilvl="1">
      <w:start w:val="4"/>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4" w15:restartNumberingAfterBreak="0">
    <w:nsid w:val="0D664115"/>
    <w:multiLevelType w:val="multilevel"/>
    <w:tmpl w:val="AE80CF14"/>
    <w:lvl w:ilvl="0">
      <w:start w:val="1"/>
      <w:numFmt w:val="decimal"/>
      <w:lvlText w:val="%1."/>
      <w:lvlJc w:val="left"/>
      <w:pPr>
        <w:ind w:left="958" w:hanging="581"/>
      </w:pPr>
      <w:rPr>
        <w:rFonts w:hint="default"/>
        <w:b/>
        <w:bCs/>
        <w:w w:val="116"/>
        <w:sz w:val="34"/>
        <w:szCs w:val="34"/>
      </w:rPr>
    </w:lvl>
    <w:lvl w:ilvl="1">
      <w:start w:val="1"/>
      <w:numFmt w:val="decimal"/>
      <w:lvlText w:val="%1.%2"/>
      <w:lvlJc w:val="left"/>
      <w:pPr>
        <w:ind w:left="1112" w:hanging="736"/>
      </w:pPr>
      <w:rPr>
        <w:rFonts w:ascii="Georgia" w:eastAsia="Georgia" w:hAnsi="Georgia" w:cs="Georgia" w:hint="default"/>
        <w:b/>
        <w:bCs/>
        <w:w w:val="101"/>
        <w:sz w:val="28"/>
        <w:szCs w:val="28"/>
      </w:rPr>
    </w:lvl>
    <w:lvl w:ilvl="2">
      <w:numFmt w:val="bullet"/>
      <w:lvlText w:val="•"/>
      <w:lvlJc w:val="left"/>
      <w:pPr>
        <w:ind w:left="1945" w:hanging="736"/>
      </w:pPr>
      <w:rPr>
        <w:rFonts w:hint="default"/>
      </w:rPr>
    </w:lvl>
    <w:lvl w:ilvl="3">
      <w:numFmt w:val="bullet"/>
      <w:lvlText w:val="•"/>
      <w:lvlJc w:val="left"/>
      <w:pPr>
        <w:ind w:left="2770" w:hanging="736"/>
      </w:pPr>
      <w:rPr>
        <w:rFonts w:hint="default"/>
      </w:rPr>
    </w:lvl>
    <w:lvl w:ilvl="4">
      <w:numFmt w:val="bullet"/>
      <w:lvlText w:val="•"/>
      <w:lvlJc w:val="left"/>
      <w:pPr>
        <w:ind w:left="3595" w:hanging="736"/>
      </w:pPr>
      <w:rPr>
        <w:rFonts w:hint="default"/>
      </w:rPr>
    </w:lvl>
    <w:lvl w:ilvl="5">
      <w:numFmt w:val="bullet"/>
      <w:lvlText w:val="•"/>
      <w:lvlJc w:val="left"/>
      <w:pPr>
        <w:ind w:left="4420" w:hanging="736"/>
      </w:pPr>
      <w:rPr>
        <w:rFonts w:hint="default"/>
      </w:rPr>
    </w:lvl>
    <w:lvl w:ilvl="6">
      <w:numFmt w:val="bullet"/>
      <w:lvlText w:val="•"/>
      <w:lvlJc w:val="left"/>
      <w:pPr>
        <w:ind w:left="5245" w:hanging="736"/>
      </w:pPr>
      <w:rPr>
        <w:rFonts w:hint="default"/>
      </w:rPr>
    </w:lvl>
    <w:lvl w:ilvl="7">
      <w:numFmt w:val="bullet"/>
      <w:lvlText w:val="•"/>
      <w:lvlJc w:val="left"/>
      <w:pPr>
        <w:ind w:left="6070" w:hanging="736"/>
      </w:pPr>
      <w:rPr>
        <w:rFonts w:hint="default"/>
      </w:rPr>
    </w:lvl>
    <w:lvl w:ilvl="8">
      <w:numFmt w:val="bullet"/>
      <w:lvlText w:val="•"/>
      <w:lvlJc w:val="left"/>
      <w:pPr>
        <w:ind w:left="6895" w:hanging="736"/>
      </w:pPr>
      <w:rPr>
        <w:rFonts w:hint="default"/>
      </w:rPr>
    </w:lvl>
  </w:abstractNum>
  <w:abstractNum w:abstractNumId="5" w15:restartNumberingAfterBreak="0">
    <w:nsid w:val="11B61804"/>
    <w:multiLevelType w:val="multilevel"/>
    <w:tmpl w:val="AB0A295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F14875"/>
    <w:multiLevelType w:val="multilevel"/>
    <w:tmpl w:val="A6708C48"/>
    <w:lvl w:ilvl="0">
      <w:start w:val="5"/>
      <w:numFmt w:val="decimal"/>
      <w:lvlText w:val="%1"/>
      <w:lvlJc w:val="left"/>
      <w:pPr>
        <w:ind w:left="360" w:hanging="360"/>
      </w:pPr>
      <w:rPr>
        <w:rFonts w:hint="default"/>
      </w:rPr>
    </w:lvl>
    <w:lvl w:ilvl="1">
      <w:start w:val="4"/>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7" w15:restartNumberingAfterBreak="0">
    <w:nsid w:val="1A9C0BAD"/>
    <w:multiLevelType w:val="multilevel"/>
    <w:tmpl w:val="22706964"/>
    <w:lvl w:ilvl="0">
      <w:start w:val="5"/>
      <w:numFmt w:val="decimal"/>
      <w:lvlText w:val="%1"/>
      <w:lvlJc w:val="left"/>
      <w:pPr>
        <w:ind w:left="360" w:hanging="360"/>
      </w:pPr>
      <w:rPr>
        <w:rFonts w:hint="default"/>
      </w:rPr>
    </w:lvl>
    <w:lvl w:ilvl="1">
      <w:start w:val="5"/>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8" w15:restartNumberingAfterBreak="0">
    <w:nsid w:val="1F595199"/>
    <w:multiLevelType w:val="multilevel"/>
    <w:tmpl w:val="26A259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9A01DC"/>
    <w:multiLevelType w:val="multilevel"/>
    <w:tmpl w:val="AE80CF14"/>
    <w:lvl w:ilvl="0">
      <w:start w:val="1"/>
      <w:numFmt w:val="decimal"/>
      <w:lvlText w:val="%1."/>
      <w:lvlJc w:val="left"/>
      <w:pPr>
        <w:ind w:left="958" w:hanging="581"/>
      </w:pPr>
      <w:rPr>
        <w:rFonts w:hint="default"/>
        <w:b/>
        <w:bCs/>
        <w:w w:val="116"/>
        <w:sz w:val="34"/>
        <w:szCs w:val="34"/>
      </w:rPr>
    </w:lvl>
    <w:lvl w:ilvl="1">
      <w:start w:val="1"/>
      <w:numFmt w:val="decimal"/>
      <w:lvlText w:val="%1.%2"/>
      <w:lvlJc w:val="left"/>
      <w:pPr>
        <w:ind w:left="1112" w:hanging="736"/>
      </w:pPr>
      <w:rPr>
        <w:rFonts w:ascii="Georgia" w:eastAsia="Georgia" w:hAnsi="Georgia" w:cs="Georgia" w:hint="default"/>
        <w:b/>
        <w:bCs/>
        <w:w w:val="101"/>
        <w:sz w:val="28"/>
        <w:szCs w:val="28"/>
      </w:rPr>
    </w:lvl>
    <w:lvl w:ilvl="2">
      <w:numFmt w:val="bullet"/>
      <w:lvlText w:val="•"/>
      <w:lvlJc w:val="left"/>
      <w:pPr>
        <w:ind w:left="1945" w:hanging="736"/>
      </w:pPr>
      <w:rPr>
        <w:rFonts w:hint="default"/>
      </w:rPr>
    </w:lvl>
    <w:lvl w:ilvl="3">
      <w:numFmt w:val="bullet"/>
      <w:lvlText w:val="•"/>
      <w:lvlJc w:val="left"/>
      <w:pPr>
        <w:ind w:left="2770" w:hanging="736"/>
      </w:pPr>
      <w:rPr>
        <w:rFonts w:hint="default"/>
      </w:rPr>
    </w:lvl>
    <w:lvl w:ilvl="4">
      <w:numFmt w:val="bullet"/>
      <w:lvlText w:val="•"/>
      <w:lvlJc w:val="left"/>
      <w:pPr>
        <w:ind w:left="3595" w:hanging="736"/>
      </w:pPr>
      <w:rPr>
        <w:rFonts w:hint="default"/>
      </w:rPr>
    </w:lvl>
    <w:lvl w:ilvl="5">
      <w:numFmt w:val="bullet"/>
      <w:lvlText w:val="•"/>
      <w:lvlJc w:val="left"/>
      <w:pPr>
        <w:ind w:left="4420" w:hanging="736"/>
      </w:pPr>
      <w:rPr>
        <w:rFonts w:hint="default"/>
      </w:rPr>
    </w:lvl>
    <w:lvl w:ilvl="6">
      <w:numFmt w:val="bullet"/>
      <w:lvlText w:val="•"/>
      <w:lvlJc w:val="left"/>
      <w:pPr>
        <w:ind w:left="5245" w:hanging="736"/>
      </w:pPr>
      <w:rPr>
        <w:rFonts w:hint="default"/>
      </w:rPr>
    </w:lvl>
    <w:lvl w:ilvl="7">
      <w:numFmt w:val="bullet"/>
      <w:lvlText w:val="•"/>
      <w:lvlJc w:val="left"/>
      <w:pPr>
        <w:ind w:left="6070" w:hanging="736"/>
      </w:pPr>
      <w:rPr>
        <w:rFonts w:hint="default"/>
      </w:rPr>
    </w:lvl>
    <w:lvl w:ilvl="8">
      <w:numFmt w:val="bullet"/>
      <w:lvlText w:val="•"/>
      <w:lvlJc w:val="left"/>
      <w:pPr>
        <w:ind w:left="6895" w:hanging="736"/>
      </w:pPr>
      <w:rPr>
        <w:rFonts w:hint="default"/>
      </w:rPr>
    </w:lvl>
  </w:abstractNum>
  <w:abstractNum w:abstractNumId="10" w15:restartNumberingAfterBreak="0">
    <w:nsid w:val="269A1868"/>
    <w:multiLevelType w:val="hybridMultilevel"/>
    <w:tmpl w:val="427620D2"/>
    <w:lvl w:ilvl="0" w:tplc="1668F0E0">
      <w:start w:val="3"/>
      <w:numFmt w:val="decimal"/>
      <w:lvlText w:val="%1."/>
      <w:lvlJc w:val="left"/>
      <w:pPr>
        <w:ind w:left="1074" w:hanging="360"/>
      </w:pPr>
      <w:rPr>
        <w:rFonts w:hint="default"/>
      </w:rPr>
    </w:lvl>
    <w:lvl w:ilvl="1" w:tplc="04160019" w:tentative="1">
      <w:start w:val="1"/>
      <w:numFmt w:val="lowerLetter"/>
      <w:lvlText w:val="%2."/>
      <w:lvlJc w:val="left"/>
      <w:pPr>
        <w:ind w:left="1794" w:hanging="360"/>
      </w:pPr>
    </w:lvl>
    <w:lvl w:ilvl="2" w:tplc="0416001B" w:tentative="1">
      <w:start w:val="1"/>
      <w:numFmt w:val="lowerRoman"/>
      <w:lvlText w:val="%3."/>
      <w:lvlJc w:val="right"/>
      <w:pPr>
        <w:ind w:left="2514" w:hanging="180"/>
      </w:pPr>
    </w:lvl>
    <w:lvl w:ilvl="3" w:tplc="0416000F" w:tentative="1">
      <w:start w:val="1"/>
      <w:numFmt w:val="decimal"/>
      <w:lvlText w:val="%4."/>
      <w:lvlJc w:val="left"/>
      <w:pPr>
        <w:ind w:left="3234" w:hanging="360"/>
      </w:pPr>
    </w:lvl>
    <w:lvl w:ilvl="4" w:tplc="04160019" w:tentative="1">
      <w:start w:val="1"/>
      <w:numFmt w:val="lowerLetter"/>
      <w:lvlText w:val="%5."/>
      <w:lvlJc w:val="left"/>
      <w:pPr>
        <w:ind w:left="3954" w:hanging="360"/>
      </w:pPr>
    </w:lvl>
    <w:lvl w:ilvl="5" w:tplc="0416001B" w:tentative="1">
      <w:start w:val="1"/>
      <w:numFmt w:val="lowerRoman"/>
      <w:lvlText w:val="%6."/>
      <w:lvlJc w:val="right"/>
      <w:pPr>
        <w:ind w:left="4674" w:hanging="180"/>
      </w:pPr>
    </w:lvl>
    <w:lvl w:ilvl="6" w:tplc="0416000F" w:tentative="1">
      <w:start w:val="1"/>
      <w:numFmt w:val="decimal"/>
      <w:lvlText w:val="%7."/>
      <w:lvlJc w:val="left"/>
      <w:pPr>
        <w:ind w:left="5394" w:hanging="360"/>
      </w:pPr>
    </w:lvl>
    <w:lvl w:ilvl="7" w:tplc="04160019" w:tentative="1">
      <w:start w:val="1"/>
      <w:numFmt w:val="lowerLetter"/>
      <w:lvlText w:val="%8."/>
      <w:lvlJc w:val="left"/>
      <w:pPr>
        <w:ind w:left="6114" w:hanging="360"/>
      </w:pPr>
    </w:lvl>
    <w:lvl w:ilvl="8" w:tplc="0416001B" w:tentative="1">
      <w:start w:val="1"/>
      <w:numFmt w:val="lowerRoman"/>
      <w:lvlText w:val="%9."/>
      <w:lvlJc w:val="right"/>
      <w:pPr>
        <w:ind w:left="6834" w:hanging="180"/>
      </w:pPr>
    </w:lvl>
  </w:abstractNum>
  <w:abstractNum w:abstractNumId="11" w15:restartNumberingAfterBreak="0">
    <w:nsid w:val="29625A7D"/>
    <w:multiLevelType w:val="multilevel"/>
    <w:tmpl w:val="9F68F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B6686D"/>
    <w:multiLevelType w:val="multilevel"/>
    <w:tmpl w:val="373A3C6C"/>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4B76"/>
    <w:multiLevelType w:val="multilevel"/>
    <w:tmpl w:val="AB0A295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F9227F"/>
    <w:multiLevelType w:val="hybridMultilevel"/>
    <w:tmpl w:val="18C0D064"/>
    <w:lvl w:ilvl="0" w:tplc="0F2A095A">
      <w:start w:val="5"/>
      <w:numFmt w:val="decimal"/>
      <w:lvlText w:val="%1."/>
      <w:lvlJc w:val="left"/>
      <w:pPr>
        <w:ind w:left="1074" w:hanging="360"/>
      </w:pPr>
      <w:rPr>
        <w:rFonts w:hint="default"/>
      </w:rPr>
    </w:lvl>
    <w:lvl w:ilvl="1" w:tplc="04160019" w:tentative="1">
      <w:start w:val="1"/>
      <w:numFmt w:val="lowerLetter"/>
      <w:lvlText w:val="%2."/>
      <w:lvlJc w:val="left"/>
      <w:pPr>
        <w:ind w:left="1794" w:hanging="360"/>
      </w:pPr>
    </w:lvl>
    <w:lvl w:ilvl="2" w:tplc="0416001B" w:tentative="1">
      <w:start w:val="1"/>
      <w:numFmt w:val="lowerRoman"/>
      <w:lvlText w:val="%3."/>
      <w:lvlJc w:val="right"/>
      <w:pPr>
        <w:ind w:left="2514" w:hanging="180"/>
      </w:pPr>
    </w:lvl>
    <w:lvl w:ilvl="3" w:tplc="0416000F" w:tentative="1">
      <w:start w:val="1"/>
      <w:numFmt w:val="decimal"/>
      <w:lvlText w:val="%4."/>
      <w:lvlJc w:val="left"/>
      <w:pPr>
        <w:ind w:left="3234" w:hanging="360"/>
      </w:pPr>
    </w:lvl>
    <w:lvl w:ilvl="4" w:tplc="04160019" w:tentative="1">
      <w:start w:val="1"/>
      <w:numFmt w:val="lowerLetter"/>
      <w:lvlText w:val="%5."/>
      <w:lvlJc w:val="left"/>
      <w:pPr>
        <w:ind w:left="3954" w:hanging="360"/>
      </w:pPr>
    </w:lvl>
    <w:lvl w:ilvl="5" w:tplc="0416001B" w:tentative="1">
      <w:start w:val="1"/>
      <w:numFmt w:val="lowerRoman"/>
      <w:lvlText w:val="%6."/>
      <w:lvlJc w:val="right"/>
      <w:pPr>
        <w:ind w:left="4674" w:hanging="180"/>
      </w:pPr>
    </w:lvl>
    <w:lvl w:ilvl="6" w:tplc="0416000F" w:tentative="1">
      <w:start w:val="1"/>
      <w:numFmt w:val="decimal"/>
      <w:lvlText w:val="%7."/>
      <w:lvlJc w:val="left"/>
      <w:pPr>
        <w:ind w:left="5394" w:hanging="360"/>
      </w:pPr>
    </w:lvl>
    <w:lvl w:ilvl="7" w:tplc="04160019" w:tentative="1">
      <w:start w:val="1"/>
      <w:numFmt w:val="lowerLetter"/>
      <w:lvlText w:val="%8."/>
      <w:lvlJc w:val="left"/>
      <w:pPr>
        <w:ind w:left="6114" w:hanging="360"/>
      </w:pPr>
    </w:lvl>
    <w:lvl w:ilvl="8" w:tplc="0416001B" w:tentative="1">
      <w:start w:val="1"/>
      <w:numFmt w:val="lowerRoman"/>
      <w:lvlText w:val="%9."/>
      <w:lvlJc w:val="right"/>
      <w:pPr>
        <w:ind w:left="6834" w:hanging="180"/>
      </w:pPr>
    </w:lvl>
  </w:abstractNum>
  <w:abstractNum w:abstractNumId="15" w15:restartNumberingAfterBreak="0">
    <w:nsid w:val="4819199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EF638F"/>
    <w:multiLevelType w:val="hybridMultilevel"/>
    <w:tmpl w:val="6DE0AB20"/>
    <w:lvl w:ilvl="0" w:tplc="6692577E">
      <w:start w:val="1"/>
      <w:numFmt w:val="decimal"/>
      <w:lvlText w:val="%1."/>
      <w:lvlJc w:val="left"/>
      <w:pPr>
        <w:ind w:left="963" w:hanging="300"/>
      </w:pPr>
      <w:rPr>
        <w:rFonts w:ascii="Georgia" w:eastAsia="Georgia" w:hAnsi="Georgia" w:cs="Georgia" w:hint="default"/>
        <w:w w:val="108"/>
        <w:sz w:val="24"/>
        <w:szCs w:val="24"/>
      </w:rPr>
    </w:lvl>
    <w:lvl w:ilvl="1" w:tplc="0F78DD76">
      <w:numFmt w:val="bullet"/>
      <w:lvlText w:val="•"/>
      <w:lvlJc w:val="left"/>
      <w:pPr>
        <w:ind w:left="1784" w:hanging="300"/>
      </w:pPr>
      <w:rPr>
        <w:rFonts w:hint="default"/>
      </w:rPr>
    </w:lvl>
    <w:lvl w:ilvl="2" w:tplc="B17A440E">
      <w:numFmt w:val="bullet"/>
      <w:lvlText w:val="•"/>
      <w:lvlJc w:val="left"/>
      <w:pPr>
        <w:ind w:left="2609" w:hanging="300"/>
      </w:pPr>
      <w:rPr>
        <w:rFonts w:hint="default"/>
      </w:rPr>
    </w:lvl>
    <w:lvl w:ilvl="3" w:tplc="440E2E24">
      <w:numFmt w:val="bullet"/>
      <w:lvlText w:val="•"/>
      <w:lvlJc w:val="left"/>
      <w:pPr>
        <w:ind w:left="3433" w:hanging="300"/>
      </w:pPr>
      <w:rPr>
        <w:rFonts w:hint="default"/>
      </w:rPr>
    </w:lvl>
    <w:lvl w:ilvl="4" w:tplc="910AA814">
      <w:numFmt w:val="bullet"/>
      <w:lvlText w:val="•"/>
      <w:lvlJc w:val="left"/>
      <w:pPr>
        <w:ind w:left="4258" w:hanging="300"/>
      </w:pPr>
      <w:rPr>
        <w:rFonts w:hint="default"/>
      </w:rPr>
    </w:lvl>
    <w:lvl w:ilvl="5" w:tplc="BB5895DA">
      <w:numFmt w:val="bullet"/>
      <w:lvlText w:val="•"/>
      <w:lvlJc w:val="left"/>
      <w:pPr>
        <w:ind w:left="5082" w:hanging="300"/>
      </w:pPr>
      <w:rPr>
        <w:rFonts w:hint="default"/>
      </w:rPr>
    </w:lvl>
    <w:lvl w:ilvl="6" w:tplc="5726A954">
      <w:numFmt w:val="bullet"/>
      <w:lvlText w:val="•"/>
      <w:lvlJc w:val="left"/>
      <w:pPr>
        <w:ind w:left="5907" w:hanging="300"/>
      </w:pPr>
      <w:rPr>
        <w:rFonts w:hint="default"/>
      </w:rPr>
    </w:lvl>
    <w:lvl w:ilvl="7" w:tplc="851CF5D8">
      <w:numFmt w:val="bullet"/>
      <w:lvlText w:val="•"/>
      <w:lvlJc w:val="left"/>
      <w:pPr>
        <w:ind w:left="6731" w:hanging="300"/>
      </w:pPr>
      <w:rPr>
        <w:rFonts w:hint="default"/>
      </w:rPr>
    </w:lvl>
    <w:lvl w:ilvl="8" w:tplc="152C89FC">
      <w:numFmt w:val="bullet"/>
      <w:lvlText w:val="•"/>
      <w:lvlJc w:val="left"/>
      <w:pPr>
        <w:ind w:left="7556" w:hanging="300"/>
      </w:pPr>
      <w:rPr>
        <w:rFonts w:hint="default"/>
      </w:rPr>
    </w:lvl>
  </w:abstractNum>
  <w:abstractNum w:abstractNumId="17" w15:restartNumberingAfterBreak="0">
    <w:nsid w:val="503F43FB"/>
    <w:multiLevelType w:val="hybridMultilevel"/>
    <w:tmpl w:val="BF20D4BE"/>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0CE30BA"/>
    <w:multiLevelType w:val="multilevel"/>
    <w:tmpl w:val="3ED24C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2030FCA"/>
    <w:multiLevelType w:val="multilevel"/>
    <w:tmpl w:val="B616FF4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2F67BE2"/>
    <w:multiLevelType w:val="multilevel"/>
    <w:tmpl w:val="AB0A295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79E0D17"/>
    <w:multiLevelType w:val="hybridMultilevel"/>
    <w:tmpl w:val="B36829EC"/>
    <w:lvl w:ilvl="0" w:tplc="FC70117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C780CFB"/>
    <w:multiLevelType w:val="hybridMultilevel"/>
    <w:tmpl w:val="5E24F45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D202E5A"/>
    <w:multiLevelType w:val="multilevel"/>
    <w:tmpl w:val="3ED24C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E4F1E6D"/>
    <w:multiLevelType w:val="multilevel"/>
    <w:tmpl w:val="AB0A295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36B30F0"/>
    <w:multiLevelType w:val="multilevel"/>
    <w:tmpl w:val="35BE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E455E8"/>
    <w:multiLevelType w:val="hybridMultilevel"/>
    <w:tmpl w:val="25BE3B56"/>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120A02"/>
    <w:multiLevelType w:val="multilevel"/>
    <w:tmpl w:val="1EB46204"/>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8800BBA"/>
    <w:multiLevelType w:val="hybridMultilevel"/>
    <w:tmpl w:val="237A810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CF508A2"/>
    <w:multiLevelType w:val="multilevel"/>
    <w:tmpl w:val="A28689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4"/>
  </w:num>
  <w:num w:numId="3">
    <w:abstractNumId w:val="9"/>
  </w:num>
  <w:num w:numId="4">
    <w:abstractNumId w:val="24"/>
  </w:num>
  <w:num w:numId="5">
    <w:abstractNumId w:val="5"/>
  </w:num>
  <w:num w:numId="6">
    <w:abstractNumId w:val="15"/>
  </w:num>
  <w:num w:numId="7">
    <w:abstractNumId w:val="21"/>
  </w:num>
  <w:num w:numId="8">
    <w:abstractNumId w:val="11"/>
  </w:num>
  <w:num w:numId="9">
    <w:abstractNumId w:val="13"/>
  </w:num>
  <w:num w:numId="10">
    <w:abstractNumId w:val="20"/>
  </w:num>
  <w:num w:numId="11">
    <w:abstractNumId w:val="12"/>
  </w:num>
  <w:num w:numId="12">
    <w:abstractNumId w:val="17"/>
  </w:num>
  <w:num w:numId="13">
    <w:abstractNumId w:val="26"/>
  </w:num>
  <w:num w:numId="14">
    <w:abstractNumId w:val="18"/>
  </w:num>
  <w:num w:numId="15">
    <w:abstractNumId w:val="23"/>
  </w:num>
  <w:num w:numId="16">
    <w:abstractNumId w:val="28"/>
  </w:num>
  <w:num w:numId="17">
    <w:abstractNumId w:val="8"/>
  </w:num>
  <w:num w:numId="18">
    <w:abstractNumId w:val="2"/>
  </w:num>
  <w:num w:numId="19">
    <w:abstractNumId w:val="25"/>
  </w:num>
  <w:num w:numId="20">
    <w:abstractNumId w:val="19"/>
  </w:num>
  <w:num w:numId="21">
    <w:abstractNumId w:val="1"/>
  </w:num>
  <w:num w:numId="22">
    <w:abstractNumId w:val="27"/>
  </w:num>
  <w:num w:numId="23">
    <w:abstractNumId w:val="29"/>
  </w:num>
  <w:num w:numId="24">
    <w:abstractNumId w:val="0"/>
  </w:num>
  <w:num w:numId="25">
    <w:abstractNumId w:val="22"/>
  </w:num>
  <w:num w:numId="26">
    <w:abstractNumId w:val="7"/>
  </w:num>
  <w:num w:numId="27">
    <w:abstractNumId w:val="14"/>
  </w:num>
  <w:num w:numId="28">
    <w:abstractNumId w:val="3"/>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D7"/>
    <w:rsid w:val="00000516"/>
    <w:rsid w:val="000043E2"/>
    <w:rsid w:val="0000645A"/>
    <w:rsid w:val="00007EE1"/>
    <w:rsid w:val="00010585"/>
    <w:rsid w:val="000121E1"/>
    <w:rsid w:val="00012A31"/>
    <w:rsid w:val="00014978"/>
    <w:rsid w:val="00015183"/>
    <w:rsid w:val="000158D3"/>
    <w:rsid w:val="0001710F"/>
    <w:rsid w:val="000177F9"/>
    <w:rsid w:val="000179DC"/>
    <w:rsid w:val="0002077E"/>
    <w:rsid w:val="00021591"/>
    <w:rsid w:val="000217AF"/>
    <w:rsid w:val="00022132"/>
    <w:rsid w:val="0002478D"/>
    <w:rsid w:val="000263E2"/>
    <w:rsid w:val="00026B25"/>
    <w:rsid w:val="00031B0C"/>
    <w:rsid w:val="0003385A"/>
    <w:rsid w:val="000338A2"/>
    <w:rsid w:val="00033927"/>
    <w:rsid w:val="00034590"/>
    <w:rsid w:val="000367C8"/>
    <w:rsid w:val="00040AE4"/>
    <w:rsid w:val="00041DFB"/>
    <w:rsid w:val="00042765"/>
    <w:rsid w:val="00042A5E"/>
    <w:rsid w:val="0004329D"/>
    <w:rsid w:val="000449D5"/>
    <w:rsid w:val="000468D9"/>
    <w:rsid w:val="00046C33"/>
    <w:rsid w:val="00047267"/>
    <w:rsid w:val="0005240E"/>
    <w:rsid w:val="00052921"/>
    <w:rsid w:val="000537E2"/>
    <w:rsid w:val="000544E8"/>
    <w:rsid w:val="000553DD"/>
    <w:rsid w:val="0005614D"/>
    <w:rsid w:val="000564CF"/>
    <w:rsid w:val="00056AAB"/>
    <w:rsid w:val="00056BDE"/>
    <w:rsid w:val="00061FD8"/>
    <w:rsid w:val="00062821"/>
    <w:rsid w:val="00062DF9"/>
    <w:rsid w:val="00063582"/>
    <w:rsid w:val="00063D07"/>
    <w:rsid w:val="00064D9F"/>
    <w:rsid w:val="000651AA"/>
    <w:rsid w:val="00065DA1"/>
    <w:rsid w:val="00067227"/>
    <w:rsid w:val="00075123"/>
    <w:rsid w:val="00075501"/>
    <w:rsid w:val="00075D29"/>
    <w:rsid w:val="00077098"/>
    <w:rsid w:val="00077325"/>
    <w:rsid w:val="0007769F"/>
    <w:rsid w:val="00080336"/>
    <w:rsid w:val="000807EC"/>
    <w:rsid w:val="00080B41"/>
    <w:rsid w:val="00080D30"/>
    <w:rsid w:val="00080E36"/>
    <w:rsid w:val="0008227D"/>
    <w:rsid w:val="00085213"/>
    <w:rsid w:val="000856B9"/>
    <w:rsid w:val="00085D14"/>
    <w:rsid w:val="00085F80"/>
    <w:rsid w:val="00086BDA"/>
    <w:rsid w:val="00087259"/>
    <w:rsid w:val="000879CC"/>
    <w:rsid w:val="0009464A"/>
    <w:rsid w:val="00094C8D"/>
    <w:rsid w:val="00095FBB"/>
    <w:rsid w:val="00097C37"/>
    <w:rsid w:val="000A0EAF"/>
    <w:rsid w:val="000A36F0"/>
    <w:rsid w:val="000A4D06"/>
    <w:rsid w:val="000A6FEB"/>
    <w:rsid w:val="000A7BD9"/>
    <w:rsid w:val="000A7C86"/>
    <w:rsid w:val="000B0C7D"/>
    <w:rsid w:val="000B16FF"/>
    <w:rsid w:val="000B3081"/>
    <w:rsid w:val="000B3470"/>
    <w:rsid w:val="000B5358"/>
    <w:rsid w:val="000B555E"/>
    <w:rsid w:val="000B6A3D"/>
    <w:rsid w:val="000B79A5"/>
    <w:rsid w:val="000C0426"/>
    <w:rsid w:val="000C310E"/>
    <w:rsid w:val="000C454F"/>
    <w:rsid w:val="000C46B8"/>
    <w:rsid w:val="000C6C71"/>
    <w:rsid w:val="000C7DD3"/>
    <w:rsid w:val="000D0EDC"/>
    <w:rsid w:val="000D0F85"/>
    <w:rsid w:val="000D132D"/>
    <w:rsid w:val="000D137B"/>
    <w:rsid w:val="000D2559"/>
    <w:rsid w:val="000D3720"/>
    <w:rsid w:val="000D40E6"/>
    <w:rsid w:val="000D51A2"/>
    <w:rsid w:val="000D6D11"/>
    <w:rsid w:val="000E0A83"/>
    <w:rsid w:val="000E0F16"/>
    <w:rsid w:val="000E10AA"/>
    <w:rsid w:val="000E41A4"/>
    <w:rsid w:val="000E4655"/>
    <w:rsid w:val="000E6139"/>
    <w:rsid w:val="000E78A4"/>
    <w:rsid w:val="000F013E"/>
    <w:rsid w:val="000F0FB2"/>
    <w:rsid w:val="000F1763"/>
    <w:rsid w:val="000F1C3F"/>
    <w:rsid w:val="000F2BC8"/>
    <w:rsid w:val="000F2C05"/>
    <w:rsid w:val="000F3F34"/>
    <w:rsid w:val="000F4532"/>
    <w:rsid w:val="000F4D26"/>
    <w:rsid w:val="000F5A8A"/>
    <w:rsid w:val="000F7A9E"/>
    <w:rsid w:val="000F7C3F"/>
    <w:rsid w:val="0010027C"/>
    <w:rsid w:val="00100AAB"/>
    <w:rsid w:val="00100E7B"/>
    <w:rsid w:val="00100EFC"/>
    <w:rsid w:val="001028B0"/>
    <w:rsid w:val="00103116"/>
    <w:rsid w:val="00103D71"/>
    <w:rsid w:val="00104A56"/>
    <w:rsid w:val="00104F71"/>
    <w:rsid w:val="0010519C"/>
    <w:rsid w:val="001058C0"/>
    <w:rsid w:val="001068CE"/>
    <w:rsid w:val="001136FA"/>
    <w:rsid w:val="0011419E"/>
    <w:rsid w:val="00120C20"/>
    <w:rsid w:val="00121B74"/>
    <w:rsid w:val="00122187"/>
    <w:rsid w:val="00122516"/>
    <w:rsid w:val="00123A88"/>
    <w:rsid w:val="0012713F"/>
    <w:rsid w:val="00130C47"/>
    <w:rsid w:val="00132460"/>
    <w:rsid w:val="001331E2"/>
    <w:rsid w:val="00134BF9"/>
    <w:rsid w:val="00134EAB"/>
    <w:rsid w:val="0014169A"/>
    <w:rsid w:val="00145D15"/>
    <w:rsid w:val="001466D9"/>
    <w:rsid w:val="00147450"/>
    <w:rsid w:val="00147487"/>
    <w:rsid w:val="0014771C"/>
    <w:rsid w:val="00150C5C"/>
    <w:rsid w:val="00151602"/>
    <w:rsid w:val="00151722"/>
    <w:rsid w:val="001535DD"/>
    <w:rsid w:val="0015386F"/>
    <w:rsid w:val="0015654B"/>
    <w:rsid w:val="00160367"/>
    <w:rsid w:val="001604B7"/>
    <w:rsid w:val="00161F6E"/>
    <w:rsid w:val="0016304E"/>
    <w:rsid w:val="001632FC"/>
    <w:rsid w:val="0016429A"/>
    <w:rsid w:val="00166270"/>
    <w:rsid w:val="00170009"/>
    <w:rsid w:val="00172D2F"/>
    <w:rsid w:val="0017312A"/>
    <w:rsid w:val="001732BA"/>
    <w:rsid w:val="00173B8D"/>
    <w:rsid w:val="00175157"/>
    <w:rsid w:val="00177B3B"/>
    <w:rsid w:val="0018016C"/>
    <w:rsid w:val="00183A54"/>
    <w:rsid w:val="00183C18"/>
    <w:rsid w:val="00183F1C"/>
    <w:rsid w:val="001877F4"/>
    <w:rsid w:val="00190834"/>
    <w:rsid w:val="00190B0E"/>
    <w:rsid w:val="00190B39"/>
    <w:rsid w:val="00191BCF"/>
    <w:rsid w:val="00192661"/>
    <w:rsid w:val="001926E7"/>
    <w:rsid w:val="001945B3"/>
    <w:rsid w:val="0019643B"/>
    <w:rsid w:val="001A10E7"/>
    <w:rsid w:val="001A1246"/>
    <w:rsid w:val="001A126F"/>
    <w:rsid w:val="001A13BD"/>
    <w:rsid w:val="001A1AB4"/>
    <w:rsid w:val="001A1D9D"/>
    <w:rsid w:val="001A36CD"/>
    <w:rsid w:val="001A3762"/>
    <w:rsid w:val="001A514A"/>
    <w:rsid w:val="001A6E23"/>
    <w:rsid w:val="001B0281"/>
    <w:rsid w:val="001B0DF2"/>
    <w:rsid w:val="001B1A5B"/>
    <w:rsid w:val="001B1B0F"/>
    <w:rsid w:val="001B370D"/>
    <w:rsid w:val="001C319D"/>
    <w:rsid w:val="001C3938"/>
    <w:rsid w:val="001C4B3C"/>
    <w:rsid w:val="001C4B5C"/>
    <w:rsid w:val="001D0760"/>
    <w:rsid w:val="001D09F4"/>
    <w:rsid w:val="001D129D"/>
    <w:rsid w:val="001D1AD8"/>
    <w:rsid w:val="001D2090"/>
    <w:rsid w:val="001D25AC"/>
    <w:rsid w:val="001D260E"/>
    <w:rsid w:val="001D4046"/>
    <w:rsid w:val="001D420F"/>
    <w:rsid w:val="001D5BE2"/>
    <w:rsid w:val="001D6B39"/>
    <w:rsid w:val="001D6C43"/>
    <w:rsid w:val="001D6E0D"/>
    <w:rsid w:val="001D727C"/>
    <w:rsid w:val="001D77B5"/>
    <w:rsid w:val="001D7ABD"/>
    <w:rsid w:val="001D7B2E"/>
    <w:rsid w:val="001D7F32"/>
    <w:rsid w:val="001E068F"/>
    <w:rsid w:val="001E3C3A"/>
    <w:rsid w:val="001E4575"/>
    <w:rsid w:val="001E50D4"/>
    <w:rsid w:val="001E540D"/>
    <w:rsid w:val="001E69B9"/>
    <w:rsid w:val="001F03EF"/>
    <w:rsid w:val="001F15EC"/>
    <w:rsid w:val="001F2B92"/>
    <w:rsid w:val="001F2DC2"/>
    <w:rsid w:val="001F41F4"/>
    <w:rsid w:val="001F4421"/>
    <w:rsid w:val="001F5936"/>
    <w:rsid w:val="001F59E5"/>
    <w:rsid w:val="001F6A20"/>
    <w:rsid w:val="001F77C1"/>
    <w:rsid w:val="00200789"/>
    <w:rsid w:val="0020091B"/>
    <w:rsid w:val="00200F11"/>
    <w:rsid w:val="002010FE"/>
    <w:rsid w:val="002017E3"/>
    <w:rsid w:val="00203711"/>
    <w:rsid w:val="00203D3C"/>
    <w:rsid w:val="00203D46"/>
    <w:rsid w:val="002040FC"/>
    <w:rsid w:val="00204F0F"/>
    <w:rsid w:val="00205A3A"/>
    <w:rsid w:val="00206FDB"/>
    <w:rsid w:val="00207700"/>
    <w:rsid w:val="002114C7"/>
    <w:rsid w:val="002116CA"/>
    <w:rsid w:val="00211F8D"/>
    <w:rsid w:val="00212D69"/>
    <w:rsid w:val="0021612D"/>
    <w:rsid w:val="00220BEC"/>
    <w:rsid w:val="002213A7"/>
    <w:rsid w:val="00221759"/>
    <w:rsid w:val="00226098"/>
    <w:rsid w:val="002260E5"/>
    <w:rsid w:val="0022643B"/>
    <w:rsid w:val="00226647"/>
    <w:rsid w:val="00226A34"/>
    <w:rsid w:val="00227252"/>
    <w:rsid w:val="0022794D"/>
    <w:rsid w:val="00230644"/>
    <w:rsid w:val="00230AB6"/>
    <w:rsid w:val="0023110F"/>
    <w:rsid w:val="00235612"/>
    <w:rsid w:val="00240317"/>
    <w:rsid w:val="00240FE2"/>
    <w:rsid w:val="002415CE"/>
    <w:rsid w:val="002418A9"/>
    <w:rsid w:val="002418E5"/>
    <w:rsid w:val="00243CCD"/>
    <w:rsid w:val="00243DAE"/>
    <w:rsid w:val="002470A7"/>
    <w:rsid w:val="0025093F"/>
    <w:rsid w:val="002518E0"/>
    <w:rsid w:val="00253A7F"/>
    <w:rsid w:val="00254FBA"/>
    <w:rsid w:val="0025528C"/>
    <w:rsid w:val="00256811"/>
    <w:rsid w:val="00260CF6"/>
    <w:rsid w:val="00262C22"/>
    <w:rsid w:val="00263B8D"/>
    <w:rsid w:val="00264423"/>
    <w:rsid w:val="002664AD"/>
    <w:rsid w:val="002678A6"/>
    <w:rsid w:val="00270AAE"/>
    <w:rsid w:val="002712EA"/>
    <w:rsid w:val="00271CA6"/>
    <w:rsid w:val="0027205E"/>
    <w:rsid w:val="00272815"/>
    <w:rsid w:val="00275EA6"/>
    <w:rsid w:val="002806B1"/>
    <w:rsid w:val="002807D8"/>
    <w:rsid w:val="00280C02"/>
    <w:rsid w:val="002833FA"/>
    <w:rsid w:val="00283D78"/>
    <w:rsid w:val="0028400E"/>
    <w:rsid w:val="002844BE"/>
    <w:rsid w:val="00284524"/>
    <w:rsid w:val="00285E8B"/>
    <w:rsid w:val="00286CA2"/>
    <w:rsid w:val="002879CA"/>
    <w:rsid w:val="00290FBC"/>
    <w:rsid w:val="00291240"/>
    <w:rsid w:val="00291513"/>
    <w:rsid w:val="002917D5"/>
    <w:rsid w:val="00291E34"/>
    <w:rsid w:val="0029359F"/>
    <w:rsid w:val="00295657"/>
    <w:rsid w:val="002A03AC"/>
    <w:rsid w:val="002A27FF"/>
    <w:rsid w:val="002A3197"/>
    <w:rsid w:val="002A3883"/>
    <w:rsid w:val="002A3DB7"/>
    <w:rsid w:val="002A4442"/>
    <w:rsid w:val="002A44DB"/>
    <w:rsid w:val="002A78D0"/>
    <w:rsid w:val="002B3693"/>
    <w:rsid w:val="002B5CB7"/>
    <w:rsid w:val="002B71F2"/>
    <w:rsid w:val="002B7A27"/>
    <w:rsid w:val="002C0274"/>
    <w:rsid w:val="002C0E0E"/>
    <w:rsid w:val="002C19DE"/>
    <w:rsid w:val="002C217D"/>
    <w:rsid w:val="002C40A6"/>
    <w:rsid w:val="002C4933"/>
    <w:rsid w:val="002D094D"/>
    <w:rsid w:val="002D1542"/>
    <w:rsid w:val="002D169B"/>
    <w:rsid w:val="002D2A0E"/>
    <w:rsid w:val="002D3029"/>
    <w:rsid w:val="002D320E"/>
    <w:rsid w:val="002D5D3E"/>
    <w:rsid w:val="002D7315"/>
    <w:rsid w:val="002D7A46"/>
    <w:rsid w:val="002D7C22"/>
    <w:rsid w:val="002E0198"/>
    <w:rsid w:val="002E032A"/>
    <w:rsid w:val="002E11DD"/>
    <w:rsid w:val="002E3062"/>
    <w:rsid w:val="002E343F"/>
    <w:rsid w:val="002E4670"/>
    <w:rsid w:val="002E5C48"/>
    <w:rsid w:val="002E63AF"/>
    <w:rsid w:val="002E63B6"/>
    <w:rsid w:val="002E7C3C"/>
    <w:rsid w:val="002F060D"/>
    <w:rsid w:val="002F1225"/>
    <w:rsid w:val="002F2D8B"/>
    <w:rsid w:val="002F2DE8"/>
    <w:rsid w:val="002F369E"/>
    <w:rsid w:val="002F3CD6"/>
    <w:rsid w:val="002F3F8F"/>
    <w:rsid w:val="002F4BD8"/>
    <w:rsid w:val="002F4D12"/>
    <w:rsid w:val="002F58DB"/>
    <w:rsid w:val="002F62A4"/>
    <w:rsid w:val="002F6E48"/>
    <w:rsid w:val="002F72F3"/>
    <w:rsid w:val="0030065B"/>
    <w:rsid w:val="00300A58"/>
    <w:rsid w:val="00301295"/>
    <w:rsid w:val="003012A6"/>
    <w:rsid w:val="0030143F"/>
    <w:rsid w:val="00301AC1"/>
    <w:rsid w:val="00301B60"/>
    <w:rsid w:val="00301D74"/>
    <w:rsid w:val="00303F87"/>
    <w:rsid w:val="00306091"/>
    <w:rsid w:val="00306B4D"/>
    <w:rsid w:val="00306FB6"/>
    <w:rsid w:val="00311771"/>
    <w:rsid w:val="00312381"/>
    <w:rsid w:val="00313BD6"/>
    <w:rsid w:val="003141D2"/>
    <w:rsid w:val="0031570F"/>
    <w:rsid w:val="003162F3"/>
    <w:rsid w:val="00316CDE"/>
    <w:rsid w:val="003170D5"/>
    <w:rsid w:val="00317C3A"/>
    <w:rsid w:val="0032143F"/>
    <w:rsid w:val="00321821"/>
    <w:rsid w:val="00321873"/>
    <w:rsid w:val="0032274B"/>
    <w:rsid w:val="003230AB"/>
    <w:rsid w:val="00323DC4"/>
    <w:rsid w:val="003266D0"/>
    <w:rsid w:val="00327BA3"/>
    <w:rsid w:val="00330C09"/>
    <w:rsid w:val="00331C68"/>
    <w:rsid w:val="00331C6C"/>
    <w:rsid w:val="0033367D"/>
    <w:rsid w:val="003339ED"/>
    <w:rsid w:val="00335371"/>
    <w:rsid w:val="003403E2"/>
    <w:rsid w:val="0034254C"/>
    <w:rsid w:val="003433BB"/>
    <w:rsid w:val="00343DC1"/>
    <w:rsid w:val="003451E6"/>
    <w:rsid w:val="00345829"/>
    <w:rsid w:val="00345D2A"/>
    <w:rsid w:val="0034656C"/>
    <w:rsid w:val="00346BFC"/>
    <w:rsid w:val="00351815"/>
    <w:rsid w:val="00352130"/>
    <w:rsid w:val="00356D78"/>
    <w:rsid w:val="0035727D"/>
    <w:rsid w:val="003578AD"/>
    <w:rsid w:val="003618E6"/>
    <w:rsid w:val="003619AB"/>
    <w:rsid w:val="003624FC"/>
    <w:rsid w:val="00362F7F"/>
    <w:rsid w:val="00363716"/>
    <w:rsid w:val="0036642C"/>
    <w:rsid w:val="00366889"/>
    <w:rsid w:val="00367BC3"/>
    <w:rsid w:val="00371B66"/>
    <w:rsid w:val="00373E9E"/>
    <w:rsid w:val="00375A1B"/>
    <w:rsid w:val="00377996"/>
    <w:rsid w:val="00380751"/>
    <w:rsid w:val="00381915"/>
    <w:rsid w:val="003826F9"/>
    <w:rsid w:val="00383D9A"/>
    <w:rsid w:val="00384E32"/>
    <w:rsid w:val="00384E4C"/>
    <w:rsid w:val="00386447"/>
    <w:rsid w:val="003873FA"/>
    <w:rsid w:val="003906B9"/>
    <w:rsid w:val="0039186B"/>
    <w:rsid w:val="00392301"/>
    <w:rsid w:val="00392AF5"/>
    <w:rsid w:val="00396EFB"/>
    <w:rsid w:val="00396F7F"/>
    <w:rsid w:val="00397A8E"/>
    <w:rsid w:val="003A1487"/>
    <w:rsid w:val="003A15C5"/>
    <w:rsid w:val="003A1DB2"/>
    <w:rsid w:val="003A4EE0"/>
    <w:rsid w:val="003A5243"/>
    <w:rsid w:val="003A5F4F"/>
    <w:rsid w:val="003A6129"/>
    <w:rsid w:val="003B3279"/>
    <w:rsid w:val="003B4499"/>
    <w:rsid w:val="003B4DE3"/>
    <w:rsid w:val="003B4F08"/>
    <w:rsid w:val="003B52A9"/>
    <w:rsid w:val="003B56E9"/>
    <w:rsid w:val="003B6BDF"/>
    <w:rsid w:val="003B7069"/>
    <w:rsid w:val="003B7F34"/>
    <w:rsid w:val="003C0FA6"/>
    <w:rsid w:val="003C183F"/>
    <w:rsid w:val="003C3D07"/>
    <w:rsid w:val="003C4C03"/>
    <w:rsid w:val="003C6A46"/>
    <w:rsid w:val="003C7AA5"/>
    <w:rsid w:val="003C7FA7"/>
    <w:rsid w:val="003D1AB5"/>
    <w:rsid w:val="003D2034"/>
    <w:rsid w:val="003D2677"/>
    <w:rsid w:val="003D507A"/>
    <w:rsid w:val="003D5C55"/>
    <w:rsid w:val="003D6222"/>
    <w:rsid w:val="003D7FA2"/>
    <w:rsid w:val="003E035E"/>
    <w:rsid w:val="003E04FA"/>
    <w:rsid w:val="003E0507"/>
    <w:rsid w:val="003E138D"/>
    <w:rsid w:val="003E3B26"/>
    <w:rsid w:val="003E4904"/>
    <w:rsid w:val="003F082D"/>
    <w:rsid w:val="003F0B3B"/>
    <w:rsid w:val="003F0E10"/>
    <w:rsid w:val="003F3DC7"/>
    <w:rsid w:val="003F5D5E"/>
    <w:rsid w:val="00401DEE"/>
    <w:rsid w:val="0040261C"/>
    <w:rsid w:val="00403F6B"/>
    <w:rsid w:val="00405854"/>
    <w:rsid w:val="00407E8A"/>
    <w:rsid w:val="00407EA3"/>
    <w:rsid w:val="00410108"/>
    <w:rsid w:val="0041130D"/>
    <w:rsid w:val="00411A22"/>
    <w:rsid w:val="00412CFF"/>
    <w:rsid w:val="00413111"/>
    <w:rsid w:val="00413A29"/>
    <w:rsid w:val="004238BD"/>
    <w:rsid w:val="00423BE0"/>
    <w:rsid w:val="00426647"/>
    <w:rsid w:val="0042735C"/>
    <w:rsid w:val="004307F3"/>
    <w:rsid w:val="00430B50"/>
    <w:rsid w:val="004316DB"/>
    <w:rsid w:val="00432774"/>
    <w:rsid w:val="004362BB"/>
    <w:rsid w:val="004368E6"/>
    <w:rsid w:val="00436A6A"/>
    <w:rsid w:val="00437CA0"/>
    <w:rsid w:val="00440B2C"/>
    <w:rsid w:val="00442C9A"/>
    <w:rsid w:val="00442E8B"/>
    <w:rsid w:val="00443DD9"/>
    <w:rsid w:val="0044798B"/>
    <w:rsid w:val="004502FE"/>
    <w:rsid w:val="004508A0"/>
    <w:rsid w:val="00451175"/>
    <w:rsid w:val="004517FE"/>
    <w:rsid w:val="00451995"/>
    <w:rsid w:val="00452C0B"/>
    <w:rsid w:val="0045361E"/>
    <w:rsid w:val="00454A0A"/>
    <w:rsid w:val="00454AB7"/>
    <w:rsid w:val="00456445"/>
    <w:rsid w:val="00456F5C"/>
    <w:rsid w:val="00457116"/>
    <w:rsid w:val="00457D18"/>
    <w:rsid w:val="00462FF0"/>
    <w:rsid w:val="00464591"/>
    <w:rsid w:val="0046597F"/>
    <w:rsid w:val="00466731"/>
    <w:rsid w:val="004711FC"/>
    <w:rsid w:val="00472AFA"/>
    <w:rsid w:val="004736FB"/>
    <w:rsid w:val="00473DE2"/>
    <w:rsid w:val="0047489D"/>
    <w:rsid w:val="00474948"/>
    <w:rsid w:val="00474D6F"/>
    <w:rsid w:val="00476211"/>
    <w:rsid w:val="00476F98"/>
    <w:rsid w:val="00477A16"/>
    <w:rsid w:val="00482211"/>
    <w:rsid w:val="0048371A"/>
    <w:rsid w:val="00483775"/>
    <w:rsid w:val="00483BD5"/>
    <w:rsid w:val="00483D04"/>
    <w:rsid w:val="004843E0"/>
    <w:rsid w:val="0048568E"/>
    <w:rsid w:val="00485B9B"/>
    <w:rsid w:val="00487449"/>
    <w:rsid w:val="004970FF"/>
    <w:rsid w:val="0049733F"/>
    <w:rsid w:val="0049739F"/>
    <w:rsid w:val="00497B1A"/>
    <w:rsid w:val="004A1098"/>
    <w:rsid w:val="004A1F6E"/>
    <w:rsid w:val="004A3423"/>
    <w:rsid w:val="004A375C"/>
    <w:rsid w:val="004A5FD4"/>
    <w:rsid w:val="004A6836"/>
    <w:rsid w:val="004A6F23"/>
    <w:rsid w:val="004B20AD"/>
    <w:rsid w:val="004B36BD"/>
    <w:rsid w:val="004B3A20"/>
    <w:rsid w:val="004B3D75"/>
    <w:rsid w:val="004B6ADF"/>
    <w:rsid w:val="004B7A27"/>
    <w:rsid w:val="004C009F"/>
    <w:rsid w:val="004C23FA"/>
    <w:rsid w:val="004C294F"/>
    <w:rsid w:val="004C29AF"/>
    <w:rsid w:val="004C5831"/>
    <w:rsid w:val="004C62FA"/>
    <w:rsid w:val="004C6A93"/>
    <w:rsid w:val="004C7615"/>
    <w:rsid w:val="004D2B12"/>
    <w:rsid w:val="004D42B8"/>
    <w:rsid w:val="004D495D"/>
    <w:rsid w:val="004D538C"/>
    <w:rsid w:val="004D58CC"/>
    <w:rsid w:val="004D5E24"/>
    <w:rsid w:val="004D7947"/>
    <w:rsid w:val="004D79B8"/>
    <w:rsid w:val="004E1A58"/>
    <w:rsid w:val="004E4046"/>
    <w:rsid w:val="004E5143"/>
    <w:rsid w:val="004E570C"/>
    <w:rsid w:val="004E6D6E"/>
    <w:rsid w:val="004E6DE1"/>
    <w:rsid w:val="004E7387"/>
    <w:rsid w:val="004F04C7"/>
    <w:rsid w:val="004F626D"/>
    <w:rsid w:val="004F78DC"/>
    <w:rsid w:val="005024E6"/>
    <w:rsid w:val="00505A75"/>
    <w:rsid w:val="00505CE9"/>
    <w:rsid w:val="0050633C"/>
    <w:rsid w:val="00510AAE"/>
    <w:rsid w:val="005115F8"/>
    <w:rsid w:val="005118E8"/>
    <w:rsid w:val="00512365"/>
    <w:rsid w:val="00513568"/>
    <w:rsid w:val="00513F05"/>
    <w:rsid w:val="005142F5"/>
    <w:rsid w:val="00515299"/>
    <w:rsid w:val="0051644E"/>
    <w:rsid w:val="00516909"/>
    <w:rsid w:val="00516B6A"/>
    <w:rsid w:val="0052009F"/>
    <w:rsid w:val="005206D4"/>
    <w:rsid w:val="005213C7"/>
    <w:rsid w:val="00522B3C"/>
    <w:rsid w:val="00522D33"/>
    <w:rsid w:val="00523500"/>
    <w:rsid w:val="00524730"/>
    <w:rsid w:val="005248F0"/>
    <w:rsid w:val="005248FA"/>
    <w:rsid w:val="00530069"/>
    <w:rsid w:val="0053010F"/>
    <w:rsid w:val="005302F6"/>
    <w:rsid w:val="00532DB2"/>
    <w:rsid w:val="00536557"/>
    <w:rsid w:val="00536910"/>
    <w:rsid w:val="00536B7B"/>
    <w:rsid w:val="005370EE"/>
    <w:rsid w:val="00537537"/>
    <w:rsid w:val="00537EB7"/>
    <w:rsid w:val="00540A25"/>
    <w:rsid w:val="00542A97"/>
    <w:rsid w:val="00546AD9"/>
    <w:rsid w:val="00546FE9"/>
    <w:rsid w:val="00547984"/>
    <w:rsid w:val="00547CC5"/>
    <w:rsid w:val="00552313"/>
    <w:rsid w:val="0055434C"/>
    <w:rsid w:val="005552F8"/>
    <w:rsid w:val="005564CB"/>
    <w:rsid w:val="00556765"/>
    <w:rsid w:val="0056001A"/>
    <w:rsid w:val="005649C0"/>
    <w:rsid w:val="005675D5"/>
    <w:rsid w:val="0056775F"/>
    <w:rsid w:val="00567C4D"/>
    <w:rsid w:val="005734A3"/>
    <w:rsid w:val="00573512"/>
    <w:rsid w:val="00575538"/>
    <w:rsid w:val="0057561B"/>
    <w:rsid w:val="00575DEB"/>
    <w:rsid w:val="005773F4"/>
    <w:rsid w:val="00577645"/>
    <w:rsid w:val="00577C03"/>
    <w:rsid w:val="00577D08"/>
    <w:rsid w:val="00582BF8"/>
    <w:rsid w:val="00583ECF"/>
    <w:rsid w:val="0058492E"/>
    <w:rsid w:val="00586A06"/>
    <w:rsid w:val="005876C4"/>
    <w:rsid w:val="00591300"/>
    <w:rsid w:val="005939BE"/>
    <w:rsid w:val="005948FE"/>
    <w:rsid w:val="005953FB"/>
    <w:rsid w:val="0059699C"/>
    <w:rsid w:val="005A0945"/>
    <w:rsid w:val="005A15D4"/>
    <w:rsid w:val="005A1BCE"/>
    <w:rsid w:val="005A5157"/>
    <w:rsid w:val="005A51AE"/>
    <w:rsid w:val="005A6B10"/>
    <w:rsid w:val="005B118E"/>
    <w:rsid w:val="005B17D5"/>
    <w:rsid w:val="005B2201"/>
    <w:rsid w:val="005B222A"/>
    <w:rsid w:val="005B24BD"/>
    <w:rsid w:val="005B27DB"/>
    <w:rsid w:val="005B4D52"/>
    <w:rsid w:val="005B5243"/>
    <w:rsid w:val="005B5C08"/>
    <w:rsid w:val="005B7950"/>
    <w:rsid w:val="005B7BA5"/>
    <w:rsid w:val="005C0376"/>
    <w:rsid w:val="005C19C0"/>
    <w:rsid w:val="005C31CD"/>
    <w:rsid w:val="005C57D4"/>
    <w:rsid w:val="005D065D"/>
    <w:rsid w:val="005D0785"/>
    <w:rsid w:val="005D1507"/>
    <w:rsid w:val="005D1E4F"/>
    <w:rsid w:val="005D2618"/>
    <w:rsid w:val="005D435A"/>
    <w:rsid w:val="005D515D"/>
    <w:rsid w:val="005D74F5"/>
    <w:rsid w:val="005E236A"/>
    <w:rsid w:val="005E2521"/>
    <w:rsid w:val="005E42E1"/>
    <w:rsid w:val="005E433B"/>
    <w:rsid w:val="005E57FA"/>
    <w:rsid w:val="005E5845"/>
    <w:rsid w:val="005E5E0E"/>
    <w:rsid w:val="005E764D"/>
    <w:rsid w:val="005F0016"/>
    <w:rsid w:val="005F2312"/>
    <w:rsid w:val="005F4B14"/>
    <w:rsid w:val="005F5432"/>
    <w:rsid w:val="00601C2B"/>
    <w:rsid w:val="00601DC5"/>
    <w:rsid w:val="00602536"/>
    <w:rsid w:val="00603410"/>
    <w:rsid w:val="00607048"/>
    <w:rsid w:val="006076A5"/>
    <w:rsid w:val="0061094B"/>
    <w:rsid w:val="006110A9"/>
    <w:rsid w:val="00612166"/>
    <w:rsid w:val="00613E95"/>
    <w:rsid w:val="00614727"/>
    <w:rsid w:val="0061586C"/>
    <w:rsid w:val="0061600F"/>
    <w:rsid w:val="00620EB3"/>
    <w:rsid w:val="00621C80"/>
    <w:rsid w:val="0062327D"/>
    <w:rsid w:val="00623D05"/>
    <w:rsid w:val="006308F6"/>
    <w:rsid w:val="00630BAE"/>
    <w:rsid w:val="00634325"/>
    <w:rsid w:val="00635384"/>
    <w:rsid w:val="00636A3E"/>
    <w:rsid w:val="006438E0"/>
    <w:rsid w:val="00644948"/>
    <w:rsid w:val="006458E3"/>
    <w:rsid w:val="00646A51"/>
    <w:rsid w:val="00651347"/>
    <w:rsid w:val="006517ED"/>
    <w:rsid w:val="006518BB"/>
    <w:rsid w:val="0065208B"/>
    <w:rsid w:val="00652C1A"/>
    <w:rsid w:val="00653EA2"/>
    <w:rsid w:val="006546E3"/>
    <w:rsid w:val="0065485B"/>
    <w:rsid w:val="00655A05"/>
    <w:rsid w:val="00655D77"/>
    <w:rsid w:val="00656734"/>
    <w:rsid w:val="00656988"/>
    <w:rsid w:val="006579CA"/>
    <w:rsid w:val="00657D24"/>
    <w:rsid w:val="006635D8"/>
    <w:rsid w:val="00663C57"/>
    <w:rsid w:val="00665735"/>
    <w:rsid w:val="00665E58"/>
    <w:rsid w:val="006724AD"/>
    <w:rsid w:val="006725DD"/>
    <w:rsid w:val="006728A0"/>
    <w:rsid w:val="00673BF7"/>
    <w:rsid w:val="00673E5A"/>
    <w:rsid w:val="00674D31"/>
    <w:rsid w:val="00680E6B"/>
    <w:rsid w:val="0068146D"/>
    <w:rsid w:val="006817E4"/>
    <w:rsid w:val="006822DC"/>
    <w:rsid w:val="00682394"/>
    <w:rsid w:val="00682AB5"/>
    <w:rsid w:val="006830FC"/>
    <w:rsid w:val="00683C29"/>
    <w:rsid w:val="00684A9B"/>
    <w:rsid w:val="00684F20"/>
    <w:rsid w:val="00684FEC"/>
    <w:rsid w:val="006855B8"/>
    <w:rsid w:val="00685877"/>
    <w:rsid w:val="006861D2"/>
    <w:rsid w:val="006866FE"/>
    <w:rsid w:val="00686710"/>
    <w:rsid w:val="00690ABC"/>
    <w:rsid w:val="00690B3B"/>
    <w:rsid w:val="006914DF"/>
    <w:rsid w:val="006914E9"/>
    <w:rsid w:val="006922E3"/>
    <w:rsid w:val="00695DA4"/>
    <w:rsid w:val="006A0603"/>
    <w:rsid w:val="006A0C0A"/>
    <w:rsid w:val="006A178F"/>
    <w:rsid w:val="006A4108"/>
    <w:rsid w:val="006A4496"/>
    <w:rsid w:val="006A4506"/>
    <w:rsid w:val="006A5207"/>
    <w:rsid w:val="006A6163"/>
    <w:rsid w:val="006A700D"/>
    <w:rsid w:val="006A7E88"/>
    <w:rsid w:val="006B0777"/>
    <w:rsid w:val="006B30EC"/>
    <w:rsid w:val="006C0944"/>
    <w:rsid w:val="006C1767"/>
    <w:rsid w:val="006C64F9"/>
    <w:rsid w:val="006C7EC3"/>
    <w:rsid w:val="006D0497"/>
    <w:rsid w:val="006D15C8"/>
    <w:rsid w:val="006D1868"/>
    <w:rsid w:val="006D6455"/>
    <w:rsid w:val="006D6792"/>
    <w:rsid w:val="006D6860"/>
    <w:rsid w:val="006D6BB6"/>
    <w:rsid w:val="006D76CD"/>
    <w:rsid w:val="006E08DE"/>
    <w:rsid w:val="006E0D95"/>
    <w:rsid w:val="006E2732"/>
    <w:rsid w:val="006E5260"/>
    <w:rsid w:val="006E58E0"/>
    <w:rsid w:val="006E6364"/>
    <w:rsid w:val="006F4A3D"/>
    <w:rsid w:val="0070136D"/>
    <w:rsid w:val="007015A0"/>
    <w:rsid w:val="00701AE1"/>
    <w:rsid w:val="00703642"/>
    <w:rsid w:val="00705DE5"/>
    <w:rsid w:val="0071052C"/>
    <w:rsid w:val="00711102"/>
    <w:rsid w:val="00711330"/>
    <w:rsid w:val="0071205E"/>
    <w:rsid w:val="00713780"/>
    <w:rsid w:val="007138F8"/>
    <w:rsid w:val="00714115"/>
    <w:rsid w:val="007158A7"/>
    <w:rsid w:val="007159D2"/>
    <w:rsid w:val="00716954"/>
    <w:rsid w:val="007169A4"/>
    <w:rsid w:val="007172DB"/>
    <w:rsid w:val="00717BAC"/>
    <w:rsid w:val="00720B01"/>
    <w:rsid w:val="00720C43"/>
    <w:rsid w:val="007226D7"/>
    <w:rsid w:val="00722B1B"/>
    <w:rsid w:val="0072396E"/>
    <w:rsid w:val="00723E33"/>
    <w:rsid w:val="0072617D"/>
    <w:rsid w:val="00726501"/>
    <w:rsid w:val="0072697F"/>
    <w:rsid w:val="00727778"/>
    <w:rsid w:val="007279E5"/>
    <w:rsid w:val="00727A57"/>
    <w:rsid w:val="00727F97"/>
    <w:rsid w:val="007300BA"/>
    <w:rsid w:val="007318C1"/>
    <w:rsid w:val="00731CF3"/>
    <w:rsid w:val="0073515C"/>
    <w:rsid w:val="0073530A"/>
    <w:rsid w:val="00735FE3"/>
    <w:rsid w:val="0073724D"/>
    <w:rsid w:val="00741507"/>
    <w:rsid w:val="007429DF"/>
    <w:rsid w:val="00743D68"/>
    <w:rsid w:val="00744903"/>
    <w:rsid w:val="007459B8"/>
    <w:rsid w:val="00746AAF"/>
    <w:rsid w:val="00751386"/>
    <w:rsid w:val="00751455"/>
    <w:rsid w:val="0075160B"/>
    <w:rsid w:val="007517E9"/>
    <w:rsid w:val="007526D1"/>
    <w:rsid w:val="00752BE9"/>
    <w:rsid w:val="00754227"/>
    <w:rsid w:val="00754C7E"/>
    <w:rsid w:val="00755884"/>
    <w:rsid w:val="00757297"/>
    <w:rsid w:val="0076160E"/>
    <w:rsid w:val="00762046"/>
    <w:rsid w:val="007621E9"/>
    <w:rsid w:val="00763CF1"/>
    <w:rsid w:val="00766A4A"/>
    <w:rsid w:val="00767095"/>
    <w:rsid w:val="00773087"/>
    <w:rsid w:val="00775B0E"/>
    <w:rsid w:val="007806C5"/>
    <w:rsid w:val="007809C5"/>
    <w:rsid w:val="00782E2F"/>
    <w:rsid w:val="007830FA"/>
    <w:rsid w:val="00783213"/>
    <w:rsid w:val="007832D8"/>
    <w:rsid w:val="007842AC"/>
    <w:rsid w:val="007857C9"/>
    <w:rsid w:val="00786451"/>
    <w:rsid w:val="00787316"/>
    <w:rsid w:val="0079012D"/>
    <w:rsid w:val="007901FF"/>
    <w:rsid w:val="00790D3F"/>
    <w:rsid w:val="00791453"/>
    <w:rsid w:val="00794B8D"/>
    <w:rsid w:val="00794CF9"/>
    <w:rsid w:val="0079544D"/>
    <w:rsid w:val="007957EA"/>
    <w:rsid w:val="00796BC6"/>
    <w:rsid w:val="007A0699"/>
    <w:rsid w:val="007A1130"/>
    <w:rsid w:val="007A2614"/>
    <w:rsid w:val="007A3B68"/>
    <w:rsid w:val="007A3C18"/>
    <w:rsid w:val="007A6DCC"/>
    <w:rsid w:val="007A718C"/>
    <w:rsid w:val="007A7938"/>
    <w:rsid w:val="007A7CA0"/>
    <w:rsid w:val="007A7EE1"/>
    <w:rsid w:val="007B08CD"/>
    <w:rsid w:val="007B097B"/>
    <w:rsid w:val="007B30B8"/>
    <w:rsid w:val="007B39E4"/>
    <w:rsid w:val="007B57CE"/>
    <w:rsid w:val="007B5B72"/>
    <w:rsid w:val="007B61B5"/>
    <w:rsid w:val="007B6CA9"/>
    <w:rsid w:val="007B7525"/>
    <w:rsid w:val="007C0B7F"/>
    <w:rsid w:val="007C1705"/>
    <w:rsid w:val="007C1A44"/>
    <w:rsid w:val="007C2F01"/>
    <w:rsid w:val="007C63B7"/>
    <w:rsid w:val="007D2A89"/>
    <w:rsid w:val="007D536F"/>
    <w:rsid w:val="007D5606"/>
    <w:rsid w:val="007D6A68"/>
    <w:rsid w:val="007D7F8D"/>
    <w:rsid w:val="007E0A01"/>
    <w:rsid w:val="007E1720"/>
    <w:rsid w:val="007E23A7"/>
    <w:rsid w:val="007E29CB"/>
    <w:rsid w:val="007E3BBB"/>
    <w:rsid w:val="007E54CC"/>
    <w:rsid w:val="007E647C"/>
    <w:rsid w:val="007E6833"/>
    <w:rsid w:val="007E761A"/>
    <w:rsid w:val="007E7F03"/>
    <w:rsid w:val="007F030C"/>
    <w:rsid w:val="007F2E99"/>
    <w:rsid w:val="007F307C"/>
    <w:rsid w:val="007F359F"/>
    <w:rsid w:val="007F508E"/>
    <w:rsid w:val="007F6467"/>
    <w:rsid w:val="007F648E"/>
    <w:rsid w:val="008009B5"/>
    <w:rsid w:val="00801393"/>
    <w:rsid w:val="00801B8E"/>
    <w:rsid w:val="0080299F"/>
    <w:rsid w:val="00804D3B"/>
    <w:rsid w:val="00805193"/>
    <w:rsid w:val="008078D6"/>
    <w:rsid w:val="00807FD9"/>
    <w:rsid w:val="00811614"/>
    <w:rsid w:val="00814024"/>
    <w:rsid w:val="00815576"/>
    <w:rsid w:val="008210A4"/>
    <w:rsid w:val="00822B09"/>
    <w:rsid w:val="00822BE8"/>
    <w:rsid w:val="00824B2F"/>
    <w:rsid w:val="00824CB5"/>
    <w:rsid w:val="008259D9"/>
    <w:rsid w:val="008260F8"/>
    <w:rsid w:val="00827E70"/>
    <w:rsid w:val="00833495"/>
    <w:rsid w:val="0083362C"/>
    <w:rsid w:val="00836C55"/>
    <w:rsid w:val="00840277"/>
    <w:rsid w:val="0084394F"/>
    <w:rsid w:val="008439CA"/>
    <w:rsid w:val="00843E14"/>
    <w:rsid w:val="00846E11"/>
    <w:rsid w:val="00855087"/>
    <w:rsid w:val="008561AA"/>
    <w:rsid w:val="00857DB8"/>
    <w:rsid w:val="008614F9"/>
    <w:rsid w:val="008621C0"/>
    <w:rsid w:val="00863803"/>
    <w:rsid w:val="00863A3B"/>
    <w:rsid w:val="00864234"/>
    <w:rsid w:val="00867CBF"/>
    <w:rsid w:val="00870D27"/>
    <w:rsid w:val="00870D32"/>
    <w:rsid w:val="00871875"/>
    <w:rsid w:val="008732E2"/>
    <w:rsid w:val="00875409"/>
    <w:rsid w:val="00875B94"/>
    <w:rsid w:val="008760A6"/>
    <w:rsid w:val="00877C32"/>
    <w:rsid w:val="00882228"/>
    <w:rsid w:val="00883D25"/>
    <w:rsid w:val="00883DCE"/>
    <w:rsid w:val="00886F59"/>
    <w:rsid w:val="00887214"/>
    <w:rsid w:val="00887DC3"/>
    <w:rsid w:val="00887F82"/>
    <w:rsid w:val="008903C2"/>
    <w:rsid w:val="0089122D"/>
    <w:rsid w:val="008914ED"/>
    <w:rsid w:val="00892F05"/>
    <w:rsid w:val="00893571"/>
    <w:rsid w:val="008955DE"/>
    <w:rsid w:val="008958D1"/>
    <w:rsid w:val="0089702B"/>
    <w:rsid w:val="00897079"/>
    <w:rsid w:val="00897816"/>
    <w:rsid w:val="00897D9E"/>
    <w:rsid w:val="00897EBA"/>
    <w:rsid w:val="008A17A2"/>
    <w:rsid w:val="008A2A8A"/>
    <w:rsid w:val="008A3FF2"/>
    <w:rsid w:val="008A7759"/>
    <w:rsid w:val="008A7D40"/>
    <w:rsid w:val="008A7E79"/>
    <w:rsid w:val="008B0F57"/>
    <w:rsid w:val="008B1305"/>
    <w:rsid w:val="008B1A0D"/>
    <w:rsid w:val="008B24C1"/>
    <w:rsid w:val="008B2C06"/>
    <w:rsid w:val="008B746F"/>
    <w:rsid w:val="008C0E77"/>
    <w:rsid w:val="008C0F34"/>
    <w:rsid w:val="008C1BCB"/>
    <w:rsid w:val="008C21AD"/>
    <w:rsid w:val="008C3689"/>
    <w:rsid w:val="008C3945"/>
    <w:rsid w:val="008C4B52"/>
    <w:rsid w:val="008C4B81"/>
    <w:rsid w:val="008C6B9E"/>
    <w:rsid w:val="008C7F97"/>
    <w:rsid w:val="008D0BE9"/>
    <w:rsid w:val="008D1218"/>
    <w:rsid w:val="008D232D"/>
    <w:rsid w:val="008D3259"/>
    <w:rsid w:val="008D45AF"/>
    <w:rsid w:val="008D4848"/>
    <w:rsid w:val="008D4D24"/>
    <w:rsid w:val="008D52A2"/>
    <w:rsid w:val="008D5531"/>
    <w:rsid w:val="008D5D25"/>
    <w:rsid w:val="008D707C"/>
    <w:rsid w:val="008E12FB"/>
    <w:rsid w:val="008E1BE7"/>
    <w:rsid w:val="008E4BA8"/>
    <w:rsid w:val="008E4C4D"/>
    <w:rsid w:val="008E5E32"/>
    <w:rsid w:val="008E6172"/>
    <w:rsid w:val="008E69D9"/>
    <w:rsid w:val="008E6A34"/>
    <w:rsid w:val="008E77F9"/>
    <w:rsid w:val="008F0DA6"/>
    <w:rsid w:val="008F2A2B"/>
    <w:rsid w:val="008F2C88"/>
    <w:rsid w:val="008F30CE"/>
    <w:rsid w:val="008F45F1"/>
    <w:rsid w:val="008F4E42"/>
    <w:rsid w:val="008F5150"/>
    <w:rsid w:val="008F55C3"/>
    <w:rsid w:val="008F6795"/>
    <w:rsid w:val="008F6FCE"/>
    <w:rsid w:val="009003D7"/>
    <w:rsid w:val="0090095A"/>
    <w:rsid w:val="009023A1"/>
    <w:rsid w:val="009026DC"/>
    <w:rsid w:val="00902CA8"/>
    <w:rsid w:val="00903589"/>
    <w:rsid w:val="0090388A"/>
    <w:rsid w:val="00903D5F"/>
    <w:rsid w:val="009075AC"/>
    <w:rsid w:val="00907D95"/>
    <w:rsid w:val="00914F41"/>
    <w:rsid w:val="00915143"/>
    <w:rsid w:val="00917C86"/>
    <w:rsid w:val="00920724"/>
    <w:rsid w:val="00921D16"/>
    <w:rsid w:val="00922EBF"/>
    <w:rsid w:val="00923FC3"/>
    <w:rsid w:val="009245C9"/>
    <w:rsid w:val="00924A06"/>
    <w:rsid w:val="00926AC5"/>
    <w:rsid w:val="0092718D"/>
    <w:rsid w:val="00927B21"/>
    <w:rsid w:val="009312A8"/>
    <w:rsid w:val="00931305"/>
    <w:rsid w:val="00931648"/>
    <w:rsid w:val="009316E9"/>
    <w:rsid w:val="00931DC4"/>
    <w:rsid w:val="00932783"/>
    <w:rsid w:val="0093496A"/>
    <w:rsid w:val="00934BE9"/>
    <w:rsid w:val="0093749D"/>
    <w:rsid w:val="0094074F"/>
    <w:rsid w:val="00940B8C"/>
    <w:rsid w:val="00941A05"/>
    <w:rsid w:val="00941C68"/>
    <w:rsid w:val="00942442"/>
    <w:rsid w:val="00943F8B"/>
    <w:rsid w:val="00945C3C"/>
    <w:rsid w:val="00945DFA"/>
    <w:rsid w:val="00946F77"/>
    <w:rsid w:val="009474B3"/>
    <w:rsid w:val="0095009F"/>
    <w:rsid w:val="00951316"/>
    <w:rsid w:val="00951602"/>
    <w:rsid w:val="00951807"/>
    <w:rsid w:val="009532B0"/>
    <w:rsid w:val="00953641"/>
    <w:rsid w:val="00956F2A"/>
    <w:rsid w:val="009574BC"/>
    <w:rsid w:val="0096030A"/>
    <w:rsid w:val="009606F6"/>
    <w:rsid w:val="00962CEF"/>
    <w:rsid w:val="009649CD"/>
    <w:rsid w:val="00966591"/>
    <w:rsid w:val="009668C1"/>
    <w:rsid w:val="00966DD3"/>
    <w:rsid w:val="009677BA"/>
    <w:rsid w:val="00970942"/>
    <w:rsid w:val="0097148E"/>
    <w:rsid w:val="00971EA2"/>
    <w:rsid w:val="00973742"/>
    <w:rsid w:val="00975085"/>
    <w:rsid w:val="0097734B"/>
    <w:rsid w:val="009813AF"/>
    <w:rsid w:val="00981AB1"/>
    <w:rsid w:val="00983FC5"/>
    <w:rsid w:val="009845C9"/>
    <w:rsid w:val="009848F6"/>
    <w:rsid w:val="00984CAC"/>
    <w:rsid w:val="00987038"/>
    <w:rsid w:val="009910DF"/>
    <w:rsid w:val="00992E92"/>
    <w:rsid w:val="00993A8C"/>
    <w:rsid w:val="00993EBD"/>
    <w:rsid w:val="00994ECA"/>
    <w:rsid w:val="00996ED6"/>
    <w:rsid w:val="00997A49"/>
    <w:rsid w:val="009A0A7C"/>
    <w:rsid w:val="009A3AEE"/>
    <w:rsid w:val="009A44F5"/>
    <w:rsid w:val="009A6D38"/>
    <w:rsid w:val="009A78E3"/>
    <w:rsid w:val="009B4AA6"/>
    <w:rsid w:val="009B67AC"/>
    <w:rsid w:val="009B6E31"/>
    <w:rsid w:val="009B76E5"/>
    <w:rsid w:val="009B7BEA"/>
    <w:rsid w:val="009C0CD5"/>
    <w:rsid w:val="009C1F23"/>
    <w:rsid w:val="009C25D0"/>
    <w:rsid w:val="009C38F1"/>
    <w:rsid w:val="009C54E6"/>
    <w:rsid w:val="009C6476"/>
    <w:rsid w:val="009C6533"/>
    <w:rsid w:val="009C65CD"/>
    <w:rsid w:val="009C788F"/>
    <w:rsid w:val="009D4ED8"/>
    <w:rsid w:val="009D577A"/>
    <w:rsid w:val="009D6441"/>
    <w:rsid w:val="009D76D3"/>
    <w:rsid w:val="009E1869"/>
    <w:rsid w:val="009E2A2D"/>
    <w:rsid w:val="009E2B8C"/>
    <w:rsid w:val="009E3AC2"/>
    <w:rsid w:val="009E4601"/>
    <w:rsid w:val="009E50C2"/>
    <w:rsid w:val="009E53FE"/>
    <w:rsid w:val="009E5936"/>
    <w:rsid w:val="009F0EEA"/>
    <w:rsid w:val="009F2087"/>
    <w:rsid w:val="009F2D23"/>
    <w:rsid w:val="009F4D86"/>
    <w:rsid w:val="009F5F49"/>
    <w:rsid w:val="00A0087D"/>
    <w:rsid w:val="00A025B1"/>
    <w:rsid w:val="00A02B18"/>
    <w:rsid w:val="00A030DB"/>
    <w:rsid w:val="00A0345A"/>
    <w:rsid w:val="00A06DC2"/>
    <w:rsid w:val="00A0700C"/>
    <w:rsid w:val="00A11E58"/>
    <w:rsid w:val="00A1368A"/>
    <w:rsid w:val="00A13BA9"/>
    <w:rsid w:val="00A152A4"/>
    <w:rsid w:val="00A159F0"/>
    <w:rsid w:val="00A16D30"/>
    <w:rsid w:val="00A20073"/>
    <w:rsid w:val="00A23071"/>
    <w:rsid w:val="00A246A9"/>
    <w:rsid w:val="00A24E58"/>
    <w:rsid w:val="00A24E92"/>
    <w:rsid w:val="00A2538B"/>
    <w:rsid w:val="00A26D6F"/>
    <w:rsid w:val="00A26DE1"/>
    <w:rsid w:val="00A275C5"/>
    <w:rsid w:val="00A31AE7"/>
    <w:rsid w:val="00A31D5B"/>
    <w:rsid w:val="00A3361C"/>
    <w:rsid w:val="00A339D9"/>
    <w:rsid w:val="00A34732"/>
    <w:rsid w:val="00A35051"/>
    <w:rsid w:val="00A360F7"/>
    <w:rsid w:val="00A37B0D"/>
    <w:rsid w:val="00A43171"/>
    <w:rsid w:val="00A475A7"/>
    <w:rsid w:val="00A47781"/>
    <w:rsid w:val="00A50428"/>
    <w:rsid w:val="00A5057C"/>
    <w:rsid w:val="00A53B98"/>
    <w:rsid w:val="00A54973"/>
    <w:rsid w:val="00A54B72"/>
    <w:rsid w:val="00A56859"/>
    <w:rsid w:val="00A5736E"/>
    <w:rsid w:val="00A61C98"/>
    <w:rsid w:val="00A622BE"/>
    <w:rsid w:val="00A63996"/>
    <w:rsid w:val="00A651AA"/>
    <w:rsid w:val="00A662CE"/>
    <w:rsid w:val="00A67BE7"/>
    <w:rsid w:val="00A70544"/>
    <w:rsid w:val="00A70B91"/>
    <w:rsid w:val="00A71033"/>
    <w:rsid w:val="00A71A81"/>
    <w:rsid w:val="00A74BF7"/>
    <w:rsid w:val="00A825A7"/>
    <w:rsid w:val="00A82E3E"/>
    <w:rsid w:val="00A82EBB"/>
    <w:rsid w:val="00A83D89"/>
    <w:rsid w:val="00A87C3B"/>
    <w:rsid w:val="00A91553"/>
    <w:rsid w:val="00A9171E"/>
    <w:rsid w:val="00A91C38"/>
    <w:rsid w:val="00A9246C"/>
    <w:rsid w:val="00A93858"/>
    <w:rsid w:val="00A93DA5"/>
    <w:rsid w:val="00A9519B"/>
    <w:rsid w:val="00A95677"/>
    <w:rsid w:val="00A95C7F"/>
    <w:rsid w:val="00A9701B"/>
    <w:rsid w:val="00AA04AA"/>
    <w:rsid w:val="00AA0D2B"/>
    <w:rsid w:val="00AA4726"/>
    <w:rsid w:val="00AA5135"/>
    <w:rsid w:val="00AA5A86"/>
    <w:rsid w:val="00AB2B97"/>
    <w:rsid w:val="00AB310C"/>
    <w:rsid w:val="00AB3586"/>
    <w:rsid w:val="00AB361D"/>
    <w:rsid w:val="00AB6CE5"/>
    <w:rsid w:val="00AC1E74"/>
    <w:rsid w:val="00AC2071"/>
    <w:rsid w:val="00AC2858"/>
    <w:rsid w:val="00AD1739"/>
    <w:rsid w:val="00AD28BE"/>
    <w:rsid w:val="00AD3C06"/>
    <w:rsid w:val="00AD3D72"/>
    <w:rsid w:val="00AD4233"/>
    <w:rsid w:val="00AD5161"/>
    <w:rsid w:val="00AD5DF8"/>
    <w:rsid w:val="00AD7B66"/>
    <w:rsid w:val="00AD7D4B"/>
    <w:rsid w:val="00AE09E7"/>
    <w:rsid w:val="00AE0B7C"/>
    <w:rsid w:val="00AE159C"/>
    <w:rsid w:val="00AE246F"/>
    <w:rsid w:val="00AE27EF"/>
    <w:rsid w:val="00AE5029"/>
    <w:rsid w:val="00AE7B53"/>
    <w:rsid w:val="00AF0D92"/>
    <w:rsid w:val="00AF1536"/>
    <w:rsid w:val="00AF1E5F"/>
    <w:rsid w:val="00AF3132"/>
    <w:rsid w:val="00AF415B"/>
    <w:rsid w:val="00AF420A"/>
    <w:rsid w:val="00AF5B3A"/>
    <w:rsid w:val="00AF6DBD"/>
    <w:rsid w:val="00AF71A5"/>
    <w:rsid w:val="00AF760F"/>
    <w:rsid w:val="00B01429"/>
    <w:rsid w:val="00B02F1C"/>
    <w:rsid w:val="00B03E3C"/>
    <w:rsid w:val="00B057C9"/>
    <w:rsid w:val="00B05E35"/>
    <w:rsid w:val="00B078EF"/>
    <w:rsid w:val="00B11B16"/>
    <w:rsid w:val="00B11B1A"/>
    <w:rsid w:val="00B11B7B"/>
    <w:rsid w:val="00B14942"/>
    <w:rsid w:val="00B15379"/>
    <w:rsid w:val="00B15CAB"/>
    <w:rsid w:val="00B16126"/>
    <w:rsid w:val="00B161AE"/>
    <w:rsid w:val="00B16EF9"/>
    <w:rsid w:val="00B17B80"/>
    <w:rsid w:val="00B20073"/>
    <w:rsid w:val="00B202EE"/>
    <w:rsid w:val="00B2030E"/>
    <w:rsid w:val="00B20A2D"/>
    <w:rsid w:val="00B22595"/>
    <w:rsid w:val="00B24DF6"/>
    <w:rsid w:val="00B24F11"/>
    <w:rsid w:val="00B26594"/>
    <w:rsid w:val="00B2752E"/>
    <w:rsid w:val="00B275B3"/>
    <w:rsid w:val="00B30982"/>
    <w:rsid w:val="00B30F59"/>
    <w:rsid w:val="00B31828"/>
    <w:rsid w:val="00B31D1C"/>
    <w:rsid w:val="00B335DD"/>
    <w:rsid w:val="00B34803"/>
    <w:rsid w:val="00B36A27"/>
    <w:rsid w:val="00B36E0D"/>
    <w:rsid w:val="00B3710C"/>
    <w:rsid w:val="00B402E3"/>
    <w:rsid w:val="00B40329"/>
    <w:rsid w:val="00B416C8"/>
    <w:rsid w:val="00B45B2D"/>
    <w:rsid w:val="00B46F8F"/>
    <w:rsid w:val="00B47948"/>
    <w:rsid w:val="00B47972"/>
    <w:rsid w:val="00B47FFE"/>
    <w:rsid w:val="00B5254F"/>
    <w:rsid w:val="00B52FC2"/>
    <w:rsid w:val="00B539C2"/>
    <w:rsid w:val="00B53A15"/>
    <w:rsid w:val="00B5458A"/>
    <w:rsid w:val="00B5567E"/>
    <w:rsid w:val="00B5722B"/>
    <w:rsid w:val="00B57840"/>
    <w:rsid w:val="00B604AB"/>
    <w:rsid w:val="00B626A2"/>
    <w:rsid w:val="00B63BCA"/>
    <w:rsid w:val="00B63EE7"/>
    <w:rsid w:val="00B648E3"/>
    <w:rsid w:val="00B674FA"/>
    <w:rsid w:val="00B70B06"/>
    <w:rsid w:val="00B730FB"/>
    <w:rsid w:val="00B73FA5"/>
    <w:rsid w:val="00B7500E"/>
    <w:rsid w:val="00B7582F"/>
    <w:rsid w:val="00B76DB0"/>
    <w:rsid w:val="00B77ACD"/>
    <w:rsid w:val="00B77F32"/>
    <w:rsid w:val="00B8063F"/>
    <w:rsid w:val="00B85359"/>
    <w:rsid w:val="00B86477"/>
    <w:rsid w:val="00B872CB"/>
    <w:rsid w:val="00B87693"/>
    <w:rsid w:val="00B90985"/>
    <w:rsid w:val="00B92F90"/>
    <w:rsid w:val="00B93730"/>
    <w:rsid w:val="00B93F67"/>
    <w:rsid w:val="00B93FE3"/>
    <w:rsid w:val="00B97710"/>
    <w:rsid w:val="00BA077E"/>
    <w:rsid w:val="00BA0849"/>
    <w:rsid w:val="00BA0A37"/>
    <w:rsid w:val="00BA19B3"/>
    <w:rsid w:val="00BA435B"/>
    <w:rsid w:val="00BA4D37"/>
    <w:rsid w:val="00BA4E50"/>
    <w:rsid w:val="00BB22A5"/>
    <w:rsid w:val="00BB34F8"/>
    <w:rsid w:val="00BB4EF6"/>
    <w:rsid w:val="00BB5B14"/>
    <w:rsid w:val="00BB7D16"/>
    <w:rsid w:val="00BC3007"/>
    <w:rsid w:val="00BC5D97"/>
    <w:rsid w:val="00BC76F7"/>
    <w:rsid w:val="00BD00CB"/>
    <w:rsid w:val="00BD01A1"/>
    <w:rsid w:val="00BD1D38"/>
    <w:rsid w:val="00BD3DD6"/>
    <w:rsid w:val="00BD45BB"/>
    <w:rsid w:val="00BD6048"/>
    <w:rsid w:val="00BD78D1"/>
    <w:rsid w:val="00BE111E"/>
    <w:rsid w:val="00BE1583"/>
    <w:rsid w:val="00BE1732"/>
    <w:rsid w:val="00BE18FA"/>
    <w:rsid w:val="00BE2081"/>
    <w:rsid w:val="00BE224B"/>
    <w:rsid w:val="00BE42A7"/>
    <w:rsid w:val="00BE5A63"/>
    <w:rsid w:val="00BE71C0"/>
    <w:rsid w:val="00BE762E"/>
    <w:rsid w:val="00BE7DD1"/>
    <w:rsid w:val="00BF0515"/>
    <w:rsid w:val="00BF0556"/>
    <w:rsid w:val="00BF073A"/>
    <w:rsid w:val="00BF0CDB"/>
    <w:rsid w:val="00BF0DDB"/>
    <w:rsid w:val="00BF2954"/>
    <w:rsid w:val="00BF2A6A"/>
    <w:rsid w:val="00BF7855"/>
    <w:rsid w:val="00C0010F"/>
    <w:rsid w:val="00C0046E"/>
    <w:rsid w:val="00C02338"/>
    <w:rsid w:val="00C0464A"/>
    <w:rsid w:val="00C051BD"/>
    <w:rsid w:val="00C0723E"/>
    <w:rsid w:val="00C077D2"/>
    <w:rsid w:val="00C12EDF"/>
    <w:rsid w:val="00C13370"/>
    <w:rsid w:val="00C14A6A"/>
    <w:rsid w:val="00C15DA4"/>
    <w:rsid w:val="00C208E4"/>
    <w:rsid w:val="00C2133E"/>
    <w:rsid w:val="00C22E85"/>
    <w:rsid w:val="00C234C5"/>
    <w:rsid w:val="00C237FB"/>
    <w:rsid w:val="00C240FF"/>
    <w:rsid w:val="00C249DA"/>
    <w:rsid w:val="00C24CE1"/>
    <w:rsid w:val="00C269F0"/>
    <w:rsid w:val="00C27AE4"/>
    <w:rsid w:val="00C302F9"/>
    <w:rsid w:val="00C30D29"/>
    <w:rsid w:val="00C32636"/>
    <w:rsid w:val="00C33841"/>
    <w:rsid w:val="00C3482F"/>
    <w:rsid w:val="00C37045"/>
    <w:rsid w:val="00C373BE"/>
    <w:rsid w:val="00C40F10"/>
    <w:rsid w:val="00C419E1"/>
    <w:rsid w:val="00C42A45"/>
    <w:rsid w:val="00C42F7B"/>
    <w:rsid w:val="00C43F93"/>
    <w:rsid w:val="00C44735"/>
    <w:rsid w:val="00C44A3A"/>
    <w:rsid w:val="00C45745"/>
    <w:rsid w:val="00C46D80"/>
    <w:rsid w:val="00C507FD"/>
    <w:rsid w:val="00C54F1B"/>
    <w:rsid w:val="00C56908"/>
    <w:rsid w:val="00C64F8A"/>
    <w:rsid w:val="00C6522C"/>
    <w:rsid w:val="00C66CA8"/>
    <w:rsid w:val="00C67ECF"/>
    <w:rsid w:val="00C70883"/>
    <w:rsid w:val="00C70F84"/>
    <w:rsid w:val="00C7373B"/>
    <w:rsid w:val="00C740A1"/>
    <w:rsid w:val="00C75C72"/>
    <w:rsid w:val="00C76947"/>
    <w:rsid w:val="00C76CBA"/>
    <w:rsid w:val="00C76D54"/>
    <w:rsid w:val="00C77A46"/>
    <w:rsid w:val="00C80EB5"/>
    <w:rsid w:val="00C8236D"/>
    <w:rsid w:val="00C82706"/>
    <w:rsid w:val="00C837A1"/>
    <w:rsid w:val="00C848CC"/>
    <w:rsid w:val="00C8529E"/>
    <w:rsid w:val="00C85D60"/>
    <w:rsid w:val="00C85FCF"/>
    <w:rsid w:val="00C91DC7"/>
    <w:rsid w:val="00C9440D"/>
    <w:rsid w:val="00C953E1"/>
    <w:rsid w:val="00C96EA0"/>
    <w:rsid w:val="00C97BD1"/>
    <w:rsid w:val="00CA092C"/>
    <w:rsid w:val="00CA217D"/>
    <w:rsid w:val="00CA32EB"/>
    <w:rsid w:val="00CA57CB"/>
    <w:rsid w:val="00CA5876"/>
    <w:rsid w:val="00CB0AE6"/>
    <w:rsid w:val="00CB1C66"/>
    <w:rsid w:val="00CB48BF"/>
    <w:rsid w:val="00CB4DA7"/>
    <w:rsid w:val="00CB52B5"/>
    <w:rsid w:val="00CB5ADF"/>
    <w:rsid w:val="00CB6CAD"/>
    <w:rsid w:val="00CB6F79"/>
    <w:rsid w:val="00CC1B45"/>
    <w:rsid w:val="00CC3856"/>
    <w:rsid w:val="00CC3DD1"/>
    <w:rsid w:val="00CC5EB0"/>
    <w:rsid w:val="00CC70A2"/>
    <w:rsid w:val="00CC76D0"/>
    <w:rsid w:val="00CD1113"/>
    <w:rsid w:val="00CD3888"/>
    <w:rsid w:val="00CD38BD"/>
    <w:rsid w:val="00CD4807"/>
    <w:rsid w:val="00CD4B9F"/>
    <w:rsid w:val="00CD6AAB"/>
    <w:rsid w:val="00CD76AA"/>
    <w:rsid w:val="00CD7C9D"/>
    <w:rsid w:val="00CE01C9"/>
    <w:rsid w:val="00CE0B96"/>
    <w:rsid w:val="00CE0F57"/>
    <w:rsid w:val="00CE119C"/>
    <w:rsid w:val="00CE1E75"/>
    <w:rsid w:val="00CE243C"/>
    <w:rsid w:val="00CE3D6B"/>
    <w:rsid w:val="00CE4753"/>
    <w:rsid w:val="00CE7EBD"/>
    <w:rsid w:val="00CF054E"/>
    <w:rsid w:val="00CF07E3"/>
    <w:rsid w:val="00CF0CDF"/>
    <w:rsid w:val="00CF0CF3"/>
    <w:rsid w:val="00CF3600"/>
    <w:rsid w:val="00CF366D"/>
    <w:rsid w:val="00CF4A77"/>
    <w:rsid w:val="00CF57C7"/>
    <w:rsid w:val="00CF5B3E"/>
    <w:rsid w:val="00CF65F0"/>
    <w:rsid w:val="00CF68B9"/>
    <w:rsid w:val="00CF7287"/>
    <w:rsid w:val="00D01148"/>
    <w:rsid w:val="00D01E57"/>
    <w:rsid w:val="00D03190"/>
    <w:rsid w:val="00D03211"/>
    <w:rsid w:val="00D03B05"/>
    <w:rsid w:val="00D05B28"/>
    <w:rsid w:val="00D075C4"/>
    <w:rsid w:val="00D10DD7"/>
    <w:rsid w:val="00D11296"/>
    <w:rsid w:val="00D12A39"/>
    <w:rsid w:val="00D13E60"/>
    <w:rsid w:val="00D13F61"/>
    <w:rsid w:val="00D14525"/>
    <w:rsid w:val="00D1622C"/>
    <w:rsid w:val="00D16496"/>
    <w:rsid w:val="00D173B4"/>
    <w:rsid w:val="00D173B8"/>
    <w:rsid w:val="00D17902"/>
    <w:rsid w:val="00D17AF4"/>
    <w:rsid w:val="00D17DA2"/>
    <w:rsid w:val="00D2207C"/>
    <w:rsid w:val="00D2214B"/>
    <w:rsid w:val="00D2242B"/>
    <w:rsid w:val="00D24A12"/>
    <w:rsid w:val="00D25706"/>
    <w:rsid w:val="00D26F72"/>
    <w:rsid w:val="00D307C4"/>
    <w:rsid w:val="00D32306"/>
    <w:rsid w:val="00D329A8"/>
    <w:rsid w:val="00D34323"/>
    <w:rsid w:val="00D3527B"/>
    <w:rsid w:val="00D36FC8"/>
    <w:rsid w:val="00D37870"/>
    <w:rsid w:val="00D379A4"/>
    <w:rsid w:val="00D416E7"/>
    <w:rsid w:val="00D41A5B"/>
    <w:rsid w:val="00D4338D"/>
    <w:rsid w:val="00D444D0"/>
    <w:rsid w:val="00D45B0E"/>
    <w:rsid w:val="00D50C0B"/>
    <w:rsid w:val="00D51898"/>
    <w:rsid w:val="00D52B75"/>
    <w:rsid w:val="00D53827"/>
    <w:rsid w:val="00D550C6"/>
    <w:rsid w:val="00D5622C"/>
    <w:rsid w:val="00D56397"/>
    <w:rsid w:val="00D56D94"/>
    <w:rsid w:val="00D62A58"/>
    <w:rsid w:val="00D62F5E"/>
    <w:rsid w:val="00D6647C"/>
    <w:rsid w:val="00D67AAF"/>
    <w:rsid w:val="00D705CE"/>
    <w:rsid w:val="00D71131"/>
    <w:rsid w:val="00D71BFE"/>
    <w:rsid w:val="00D725E7"/>
    <w:rsid w:val="00D726D6"/>
    <w:rsid w:val="00D728E2"/>
    <w:rsid w:val="00D75380"/>
    <w:rsid w:val="00D75C31"/>
    <w:rsid w:val="00D77429"/>
    <w:rsid w:val="00D8084A"/>
    <w:rsid w:val="00D818ED"/>
    <w:rsid w:val="00D848DD"/>
    <w:rsid w:val="00D84977"/>
    <w:rsid w:val="00D84AD1"/>
    <w:rsid w:val="00D852F1"/>
    <w:rsid w:val="00D8533B"/>
    <w:rsid w:val="00D8580E"/>
    <w:rsid w:val="00D879A1"/>
    <w:rsid w:val="00D87F1A"/>
    <w:rsid w:val="00D905B4"/>
    <w:rsid w:val="00D91624"/>
    <w:rsid w:val="00D9251D"/>
    <w:rsid w:val="00D93E5B"/>
    <w:rsid w:val="00D96ED4"/>
    <w:rsid w:val="00D976AE"/>
    <w:rsid w:val="00D97A6F"/>
    <w:rsid w:val="00DA048A"/>
    <w:rsid w:val="00DA09AF"/>
    <w:rsid w:val="00DA162D"/>
    <w:rsid w:val="00DA1D75"/>
    <w:rsid w:val="00DA348B"/>
    <w:rsid w:val="00DA3D47"/>
    <w:rsid w:val="00DA3FAD"/>
    <w:rsid w:val="00DA4C50"/>
    <w:rsid w:val="00DA54DC"/>
    <w:rsid w:val="00DA6CD5"/>
    <w:rsid w:val="00DA72C8"/>
    <w:rsid w:val="00DA7722"/>
    <w:rsid w:val="00DB0C57"/>
    <w:rsid w:val="00DB0C71"/>
    <w:rsid w:val="00DB0E32"/>
    <w:rsid w:val="00DB21C0"/>
    <w:rsid w:val="00DB271A"/>
    <w:rsid w:val="00DB31CD"/>
    <w:rsid w:val="00DB520A"/>
    <w:rsid w:val="00DB6434"/>
    <w:rsid w:val="00DB6AE1"/>
    <w:rsid w:val="00DB7180"/>
    <w:rsid w:val="00DC0C6B"/>
    <w:rsid w:val="00DC0E5A"/>
    <w:rsid w:val="00DC126E"/>
    <w:rsid w:val="00DC136E"/>
    <w:rsid w:val="00DC3008"/>
    <w:rsid w:val="00DC3AE0"/>
    <w:rsid w:val="00DC4C54"/>
    <w:rsid w:val="00DD16A4"/>
    <w:rsid w:val="00DD1930"/>
    <w:rsid w:val="00DD25DC"/>
    <w:rsid w:val="00DD40C1"/>
    <w:rsid w:val="00DD432F"/>
    <w:rsid w:val="00DD499C"/>
    <w:rsid w:val="00DD5DED"/>
    <w:rsid w:val="00DD6C07"/>
    <w:rsid w:val="00DE0F38"/>
    <w:rsid w:val="00DE1C79"/>
    <w:rsid w:val="00DE31A8"/>
    <w:rsid w:val="00DE3E17"/>
    <w:rsid w:val="00DE4331"/>
    <w:rsid w:val="00DE4AD7"/>
    <w:rsid w:val="00DE5938"/>
    <w:rsid w:val="00DE65FA"/>
    <w:rsid w:val="00DE7AAD"/>
    <w:rsid w:val="00DE7C75"/>
    <w:rsid w:val="00DF4C2C"/>
    <w:rsid w:val="00DF529C"/>
    <w:rsid w:val="00DF59F0"/>
    <w:rsid w:val="00DF65C6"/>
    <w:rsid w:val="00DF6DE3"/>
    <w:rsid w:val="00E0069B"/>
    <w:rsid w:val="00E01D15"/>
    <w:rsid w:val="00E026D9"/>
    <w:rsid w:val="00E02D54"/>
    <w:rsid w:val="00E030AE"/>
    <w:rsid w:val="00E0442A"/>
    <w:rsid w:val="00E0537F"/>
    <w:rsid w:val="00E05426"/>
    <w:rsid w:val="00E06843"/>
    <w:rsid w:val="00E074FA"/>
    <w:rsid w:val="00E109B3"/>
    <w:rsid w:val="00E10BB9"/>
    <w:rsid w:val="00E1350D"/>
    <w:rsid w:val="00E167C9"/>
    <w:rsid w:val="00E21054"/>
    <w:rsid w:val="00E233ED"/>
    <w:rsid w:val="00E23DF1"/>
    <w:rsid w:val="00E23E39"/>
    <w:rsid w:val="00E23FCB"/>
    <w:rsid w:val="00E24021"/>
    <w:rsid w:val="00E253A6"/>
    <w:rsid w:val="00E30371"/>
    <w:rsid w:val="00E31B0E"/>
    <w:rsid w:val="00E3481A"/>
    <w:rsid w:val="00E3679E"/>
    <w:rsid w:val="00E36CEF"/>
    <w:rsid w:val="00E4072F"/>
    <w:rsid w:val="00E4142A"/>
    <w:rsid w:val="00E41A9E"/>
    <w:rsid w:val="00E42831"/>
    <w:rsid w:val="00E43DD4"/>
    <w:rsid w:val="00E44AF7"/>
    <w:rsid w:val="00E44FF2"/>
    <w:rsid w:val="00E45E8B"/>
    <w:rsid w:val="00E47ADC"/>
    <w:rsid w:val="00E57250"/>
    <w:rsid w:val="00E57592"/>
    <w:rsid w:val="00E608DA"/>
    <w:rsid w:val="00E60BB2"/>
    <w:rsid w:val="00E63C37"/>
    <w:rsid w:val="00E6452B"/>
    <w:rsid w:val="00E65D72"/>
    <w:rsid w:val="00E705D9"/>
    <w:rsid w:val="00E7143A"/>
    <w:rsid w:val="00E71A48"/>
    <w:rsid w:val="00E74708"/>
    <w:rsid w:val="00E75813"/>
    <w:rsid w:val="00E80A41"/>
    <w:rsid w:val="00E80F1B"/>
    <w:rsid w:val="00E812CF"/>
    <w:rsid w:val="00E829F5"/>
    <w:rsid w:val="00E84ECB"/>
    <w:rsid w:val="00E85FEE"/>
    <w:rsid w:val="00E91426"/>
    <w:rsid w:val="00E91F20"/>
    <w:rsid w:val="00E93557"/>
    <w:rsid w:val="00E94A15"/>
    <w:rsid w:val="00E9508D"/>
    <w:rsid w:val="00E976C2"/>
    <w:rsid w:val="00EA2A38"/>
    <w:rsid w:val="00EA56EF"/>
    <w:rsid w:val="00EA59E9"/>
    <w:rsid w:val="00EA608F"/>
    <w:rsid w:val="00EA7029"/>
    <w:rsid w:val="00EA717C"/>
    <w:rsid w:val="00EA7AF5"/>
    <w:rsid w:val="00EB0D48"/>
    <w:rsid w:val="00EB1E63"/>
    <w:rsid w:val="00EB2EB8"/>
    <w:rsid w:val="00EB30FC"/>
    <w:rsid w:val="00EB3C0D"/>
    <w:rsid w:val="00EB6B0E"/>
    <w:rsid w:val="00EB6D9B"/>
    <w:rsid w:val="00EB7396"/>
    <w:rsid w:val="00EB75FA"/>
    <w:rsid w:val="00EC12A3"/>
    <w:rsid w:val="00EC176E"/>
    <w:rsid w:val="00EC193E"/>
    <w:rsid w:val="00EC2E36"/>
    <w:rsid w:val="00EC52A9"/>
    <w:rsid w:val="00EC568D"/>
    <w:rsid w:val="00EC5B8C"/>
    <w:rsid w:val="00EC5C75"/>
    <w:rsid w:val="00ED04D3"/>
    <w:rsid w:val="00ED1BEC"/>
    <w:rsid w:val="00ED3AD8"/>
    <w:rsid w:val="00ED3C41"/>
    <w:rsid w:val="00ED408D"/>
    <w:rsid w:val="00ED4942"/>
    <w:rsid w:val="00ED5086"/>
    <w:rsid w:val="00ED51E1"/>
    <w:rsid w:val="00EE1446"/>
    <w:rsid w:val="00EE4714"/>
    <w:rsid w:val="00EE47C7"/>
    <w:rsid w:val="00EE4A3B"/>
    <w:rsid w:val="00EE4BCB"/>
    <w:rsid w:val="00EE529C"/>
    <w:rsid w:val="00EE6AB4"/>
    <w:rsid w:val="00EE6BDE"/>
    <w:rsid w:val="00EE6CB1"/>
    <w:rsid w:val="00EE7416"/>
    <w:rsid w:val="00EF0429"/>
    <w:rsid w:val="00EF06D6"/>
    <w:rsid w:val="00EF1438"/>
    <w:rsid w:val="00EF46A5"/>
    <w:rsid w:val="00EF7149"/>
    <w:rsid w:val="00EF71E9"/>
    <w:rsid w:val="00EF72D7"/>
    <w:rsid w:val="00EF7FC6"/>
    <w:rsid w:val="00F00087"/>
    <w:rsid w:val="00F0194D"/>
    <w:rsid w:val="00F03060"/>
    <w:rsid w:val="00F04B33"/>
    <w:rsid w:val="00F05491"/>
    <w:rsid w:val="00F06900"/>
    <w:rsid w:val="00F07167"/>
    <w:rsid w:val="00F10058"/>
    <w:rsid w:val="00F12471"/>
    <w:rsid w:val="00F14349"/>
    <w:rsid w:val="00F147A1"/>
    <w:rsid w:val="00F175B5"/>
    <w:rsid w:val="00F20499"/>
    <w:rsid w:val="00F204F4"/>
    <w:rsid w:val="00F20A36"/>
    <w:rsid w:val="00F212E5"/>
    <w:rsid w:val="00F230E7"/>
    <w:rsid w:val="00F249F7"/>
    <w:rsid w:val="00F256CE"/>
    <w:rsid w:val="00F25F03"/>
    <w:rsid w:val="00F2753F"/>
    <w:rsid w:val="00F32852"/>
    <w:rsid w:val="00F32946"/>
    <w:rsid w:val="00F33B6D"/>
    <w:rsid w:val="00F34D06"/>
    <w:rsid w:val="00F369AE"/>
    <w:rsid w:val="00F401F7"/>
    <w:rsid w:val="00F41FCC"/>
    <w:rsid w:val="00F444BC"/>
    <w:rsid w:val="00F47342"/>
    <w:rsid w:val="00F476E8"/>
    <w:rsid w:val="00F52911"/>
    <w:rsid w:val="00F534D8"/>
    <w:rsid w:val="00F55BD0"/>
    <w:rsid w:val="00F567B6"/>
    <w:rsid w:val="00F610E3"/>
    <w:rsid w:val="00F64644"/>
    <w:rsid w:val="00F666D1"/>
    <w:rsid w:val="00F67047"/>
    <w:rsid w:val="00F702E3"/>
    <w:rsid w:val="00F70C2C"/>
    <w:rsid w:val="00F71358"/>
    <w:rsid w:val="00F7149A"/>
    <w:rsid w:val="00F740C4"/>
    <w:rsid w:val="00F74292"/>
    <w:rsid w:val="00F7585B"/>
    <w:rsid w:val="00F8147E"/>
    <w:rsid w:val="00F816AF"/>
    <w:rsid w:val="00F82306"/>
    <w:rsid w:val="00F8248D"/>
    <w:rsid w:val="00F829A9"/>
    <w:rsid w:val="00F82CD4"/>
    <w:rsid w:val="00F83C99"/>
    <w:rsid w:val="00F84E45"/>
    <w:rsid w:val="00F8525F"/>
    <w:rsid w:val="00F856D9"/>
    <w:rsid w:val="00F867B3"/>
    <w:rsid w:val="00F86F06"/>
    <w:rsid w:val="00F8700D"/>
    <w:rsid w:val="00F944B6"/>
    <w:rsid w:val="00F96293"/>
    <w:rsid w:val="00F963B3"/>
    <w:rsid w:val="00F969C4"/>
    <w:rsid w:val="00F97322"/>
    <w:rsid w:val="00FA141C"/>
    <w:rsid w:val="00FA41FE"/>
    <w:rsid w:val="00FA432F"/>
    <w:rsid w:val="00FA5598"/>
    <w:rsid w:val="00FB2464"/>
    <w:rsid w:val="00FB298E"/>
    <w:rsid w:val="00FB3381"/>
    <w:rsid w:val="00FB367F"/>
    <w:rsid w:val="00FB458A"/>
    <w:rsid w:val="00FB6F10"/>
    <w:rsid w:val="00FC0098"/>
    <w:rsid w:val="00FC11F0"/>
    <w:rsid w:val="00FC2FB1"/>
    <w:rsid w:val="00FC356E"/>
    <w:rsid w:val="00FC3703"/>
    <w:rsid w:val="00FC524E"/>
    <w:rsid w:val="00FC53B9"/>
    <w:rsid w:val="00FC5FAB"/>
    <w:rsid w:val="00FD0A98"/>
    <w:rsid w:val="00FD0FD7"/>
    <w:rsid w:val="00FD338E"/>
    <w:rsid w:val="00FD5534"/>
    <w:rsid w:val="00FD60D0"/>
    <w:rsid w:val="00FE02AE"/>
    <w:rsid w:val="00FE1245"/>
    <w:rsid w:val="00FE1B3C"/>
    <w:rsid w:val="00FE1BC8"/>
    <w:rsid w:val="00FE39EE"/>
    <w:rsid w:val="00FE3B73"/>
    <w:rsid w:val="00FE3D2A"/>
    <w:rsid w:val="00FE591D"/>
    <w:rsid w:val="00FE67B2"/>
    <w:rsid w:val="00FE6BFF"/>
    <w:rsid w:val="00FE7C6B"/>
    <w:rsid w:val="00FF5061"/>
    <w:rsid w:val="00FF521D"/>
    <w:rsid w:val="00FF667B"/>
    <w:rsid w:val="00FF7C0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4D1D7"/>
  <w15:docId w15:val="{F0370CAD-4642-40B7-94AE-6A6B5D75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464"/>
    <w:rPr>
      <w:rFonts w:ascii="Times New Roman" w:eastAsiaTheme="minorHAnsi" w:hAnsi="Times New Roman"/>
      <w:color w:val="000000"/>
      <w:sz w:val="28"/>
      <w:szCs w:val="24"/>
      <w:lang w:val="pt-BR"/>
    </w:rPr>
  </w:style>
  <w:style w:type="paragraph" w:styleId="Ttulo1">
    <w:name w:val="heading 1"/>
    <w:basedOn w:val="Normal"/>
    <w:next w:val="Normal"/>
    <w:link w:val="Ttulo1Char"/>
    <w:uiPriority w:val="9"/>
    <w:qFormat/>
    <w:rsid w:val="00FB2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uiPriority w:val="1"/>
    <w:qFormat/>
    <w:rsid w:val="006A700D"/>
    <w:pPr>
      <w:ind w:left="1112" w:hanging="735"/>
      <w:outlineLvl w:val="1"/>
    </w:pPr>
    <w:rPr>
      <w:b/>
      <w:bCs/>
      <w:szCs w:val="28"/>
    </w:rPr>
  </w:style>
  <w:style w:type="paragraph" w:styleId="Ttulo3">
    <w:name w:val="heading 3"/>
    <w:basedOn w:val="Normal"/>
    <w:next w:val="Normal"/>
    <w:link w:val="Ttulo3Char"/>
    <w:uiPriority w:val="9"/>
    <w:unhideWhenUsed/>
    <w:qFormat/>
    <w:rsid w:val="00DD40C1"/>
    <w:pPr>
      <w:keepNext/>
      <w:spacing w:before="240" w:after="60"/>
      <w:outlineLvl w:val="2"/>
    </w:pPr>
    <w:rPr>
      <w:rFonts w:ascii="Calibri Light" w:eastAsia="Times New Roman" w:hAnsi="Calibri Light"/>
      <w:b/>
      <w:bCs/>
      <w:sz w:val="26"/>
      <w:szCs w:val="26"/>
    </w:rPr>
  </w:style>
  <w:style w:type="paragraph" w:styleId="Ttulo4">
    <w:name w:val="heading 4"/>
    <w:basedOn w:val="Normal"/>
    <w:next w:val="Normal"/>
    <w:link w:val="Ttulo4Char"/>
    <w:uiPriority w:val="9"/>
    <w:semiHidden/>
    <w:unhideWhenUsed/>
    <w:qFormat/>
    <w:rsid w:val="00FB2464"/>
    <w:pPr>
      <w:keepNext/>
      <w:keepLines/>
      <w:spacing w:before="4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har"/>
    <w:uiPriority w:val="9"/>
    <w:semiHidden/>
    <w:unhideWhenUsed/>
    <w:qFormat/>
    <w:rsid w:val="00FB2464"/>
    <w:pPr>
      <w:keepNext/>
      <w:keepLines/>
      <w:spacing w:before="4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rsid w:val="006A700D"/>
    <w:pPr>
      <w:widowControl w:val="0"/>
    </w:pPr>
    <w:rPr>
      <w:sz w:val="22"/>
      <w:szCs w:val="22"/>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6A700D"/>
    <w:rPr>
      <w:sz w:val="24"/>
    </w:rPr>
  </w:style>
  <w:style w:type="paragraph" w:styleId="PargrafodaLista">
    <w:name w:val="List Paragraph"/>
    <w:basedOn w:val="Normal"/>
    <w:uiPriority w:val="34"/>
    <w:qFormat/>
    <w:rsid w:val="006A700D"/>
    <w:pPr>
      <w:ind w:left="963" w:hanging="300"/>
    </w:pPr>
  </w:style>
  <w:style w:type="paragraph" w:customStyle="1" w:styleId="TableParagraph">
    <w:name w:val="Table Paragraph"/>
    <w:basedOn w:val="Normal"/>
    <w:uiPriority w:val="1"/>
    <w:qFormat/>
    <w:rsid w:val="006A700D"/>
  </w:style>
  <w:style w:type="paragraph" w:styleId="Textodenotaderodap">
    <w:name w:val="footnote text"/>
    <w:basedOn w:val="Normal"/>
    <w:link w:val="TextodenotaderodapChar"/>
    <w:unhideWhenUsed/>
    <w:rsid w:val="00DA048A"/>
    <w:rPr>
      <w:sz w:val="20"/>
      <w:szCs w:val="20"/>
    </w:rPr>
  </w:style>
  <w:style w:type="character" w:customStyle="1" w:styleId="TextodenotaderodapChar">
    <w:name w:val="Texto de nota de rodapé Char"/>
    <w:link w:val="Textodenotaderodap"/>
    <w:rsid w:val="00DA048A"/>
    <w:rPr>
      <w:rFonts w:ascii="Georgia" w:eastAsia="Georgia" w:hAnsi="Georgia" w:cs="Georgia"/>
      <w:sz w:val="20"/>
      <w:szCs w:val="20"/>
    </w:rPr>
  </w:style>
  <w:style w:type="character" w:styleId="Refdenotaderodap">
    <w:name w:val="footnote reference"/>
    <w:uiPriority w:val="99"/>
    <w:unhideWhenUsed/>
    <w:rsid w:val="00DA048A"/>
    <w:rPr>
      <w:vertAlign w:val="superscript"/>
    </w:rPr>
  </w:style>
  <w:style w:type="paragraph" w:styleId="Cabealho">
    <w:name w:val="header"/>
    <w:basedOn w:val="Normal"/>
    <w:link w:val="CabealhoChar"/>
    <w:uiPriority w:val="99"/>
    <w:unhideWhenUsed/>
    <w:rsid w:val="00B90985"/>
    <w:pPr>
      <w:tabs>
        <w:tab w:val="center" w:pos="4252"/>
        <w:tab w:val="right" w:pos="8504"/>
      </w:tabs>
    </w:pPr>
    <w:rPr>
      <w:sz w:val="20"/>
      <w:szCs w:val="20"/>
    </w:rPr>
  </w:style>
  <w:style w:type="character" w:customStyle="1" w:styleId="CabealhoChar">
    <w:name w:val="Cabeçalho Char"/>
    <w:link w:val="Cabealho"/>
    <w:uiPriority w:val="99"/>
    <w:rsid w:val="00B90985"/>
    <w:rPr>
      <w:rFonts w:ascii="Georgia" w:eastAsia="Georgia" w:hAnsi="Georgia" w:cs="Georgia"/>
    </w:rPr>
  </w:style>
  <w:style w:type="paragraph" w:styleId="Rodap">
    <w:name w:val="footer"/>
    <w:basedOn w:val="Normal"/>
    <w:link w:val="RodapChar"/>
    <w:uiPriority w:val="99"/>
    <w:unhideWhenUsed/>
    <w:rsid w:val="00B90985"/>
    <w:pPr>
      <w:tabs>
        <w:tab w:val="center" w:pos="4252"/>
        <w:tab w:val="right" w:pos="8504"/>
      </w:tabs>
    </w:pPr>
    <w:rPr>
      <w:sz w:val="20"/>
      <w:szCs w:val="20"/>
    </w:rPr>
  </w:style>
  <w:style w:type="character" w:customStyle="1" w:styleId="RodapChar">
    <w:name w:val="Rodapé Char"/>
    <w:link w:val="Rodap"/>
    <w:uiPriority w:val="99"/>
    <w:rsid w:val="00B90985"/>
    <w:rPr>
      <w:rFonts w:ascii="Georgia" w:eastAsia="Georgia" w:hAnsi="Georgia" w:cs="Georgia"/>
    </w:rPr>
  </w:style>
  <w:style w:type="character" w:styleId="TextodoEspaoReservado">
    <w:name w:val="Placeholder Text"/>
    <w:uiPriority w:val="99"/>
    <w:semiHidden/>
    <w:rsid w:val="00582BF8"/>
    <w:rPr>
      <w:color w:val="808080"/>
    </w:rPr>
  </w:style>
  <w:style w:type="paragraph" w:styleId="Textodebalo">
    <w:name w:val="Balloon Text"/>
    <w:basedOn w:val="Normal"/>
    <w:link w:val="TextodebaloChar"/>
    <w:uiPriority w:val="99"/>
    <w:semiHidden/>
    <w:unhideWhenUsed/>
    <w:rsid w:val="001A3762"/>
    <w:rPr>
      <w:rFonts w:ascii="Tahoma" w:hAnsi="Tahoma"/>
      <w:sz w:val="16"/>
      <w:szCs w:val="16"/>
    </w:rPr>
  </w:style>
  <w:style w:type="character" w:customStyle="1" w:styleId="TextodebaloChar">
    <w:name w:val="Texto de balão Char"/>
    <w:link w:val="Textodebalo"/>
    <w:uiPriority w:val="99"/>
    <w:semiHidden/>
    <w:rsid w:val="001A3762"/>
    <w:rPr>
      <w:rFonts w:ascii="Tahoma" w:eastAsia="Georgia" w:hAnsi="Tahoma" w:cs="Tahoma"/>
      <w:sz w:val="16"/>
      <w:szCs w:val="16"/>
    </w:rPr>
  </w:style>
  <w:style w:type="paragraph" w:styleId="Textodenotadefim">
    <w:name w:val="endnote text"/>
    <w:basedOn w:val="Normal"/>
    <w:link w:val="TextodenotadefimChar"/>
    <w:uiPriority w:val="99"/>
    <w:semiHidden/>
    <w:unhideWhenUsed/>
    <w:rsid w:val="00CD76AA"/>
    <w:rPr>
      <w:sz w:val="20"/>
      <w:szCs w:val="20"/>
    </w:rPr>
  </w:style>
  <w:style w:type="character" w:customStyle="1" w:styleId="TextodenotadefimChar">
    <w:name w:val="Texto de nota de fim Char"/>
    <w:link w:val="Textodenotadefim"/>
    <w:uiPriority w:val="99"/>
    <w:semiHidden/>
    <w:rsid w:val="00CD76AA"/>
    <w:rPr>
      <w:rFonts w:ascii="Georgia" w:eastAsia="Georgia" w:hAnsi="Georgia" w:cs="Georgia"/>
      <w:sz w:val="20"/>
      <w:szCs w:val="20"/>
    </w:rPr>
  </w:style>
  <w:style w:type="character" w:styleId="Refdenotadefim">
    <w:name w:val="endnote reference"/>
    <w:uiPriority w:val="99"/>
    <w:semiHidden/>
    <w:unhideWhenUsed/>
    <w:rsid w:val="00CD76AA"/>
    <w:rPr>
      <w:vertAlign w:val="superscript"/>
    </w:rPr>
  </w:style>
  <w:style w:type="character" w:styleId="Hyperlink">
    <w:name w:val="Hyperlink"/>
    <w:uiPriority w:val="99"/>
    <w:unhideWhenUsed/>
    <w:rsid w:val="00100EFC"/>
    <w:rPr>
      <w:color w:val="0000FF"/>
      <w:u w:val="single"/>
    </w:rPr>
  </w:style>
  <w:style w:type="table" w:styleId="Tabelacomgrade">
    <w:name w:val="Table Grid"/>
    <w:basedOn w:val="Tabelanormal"/>
    <w:uiPriority w:val="39"/>
    <w:rsid w:val="00FC3703"/>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805193"/>
  </w:style>
  <w:style w:type="character" w:styleId="nfase">
    <w:name w:val="Emphasis"/>
    <w:uiPriority w:val="20"/>
    <w:qFormat/>
    <w:rsid w:val="00805193"/>
    <w:rPr>
      <w:i/>
      <w:iCs/>
    </w:rPr>
  </w:style>
  <w:style w:type="character" w:customStyle="1" w:styleId="Ttulo3Char">
    <w:name w:val="Título 3 Char"/>
    <w:link w:val="Ttulo3"/>
    <w:uiPriority w:val="9"/>
    <w:rsid w:val="00DD40C1"/>
    <w:rPr>
      <w:rFonts w:ascii="Calibri Light" w:eastAsia="Times New Roman" w:hAnsi="Calibri Light" w:cs="Times New Roman"/>
      <w:b/>
      <w:bCs/>
      <w:sz w:val="26"/>
      <w:szCs w:val="26"/>
      <w:lang w:val="en-US" w:eastAsia="en-US"/>
    </w:rPr>
  </w:style>
  <w:style w:type="character" w:styleId="CitaoHTML">
    <w:name w:val="HTML Cite"/>
    <w:uiPriority w:val="99"/>
    <w:semiHidden/>
    <w:unhideWhenUsed/>
    <w:rsid w:val="007D7F8D"/>
    <w:rPr>
      <w:i/>
      <w:iCs/>
    </w:rPr>
  </w:style>
  <w:style w:type="character" w:styleId="HiperlinkVisitado">
    <w:name w:val="FollowedHyperlink"/>
    <w:uiPriority w:val="99"/>
    <w:semiHidden/>
    <w:unhideWhenUsed/>
    <w:rsid w:val="008C6B9E"/>
    <w:rPr>
      <w:color w:val="954F72"/>
      <w:u w:val="single"/>
    </w:rPr>
  </w:style>
  <w:style w:type="character" w:customStyle="1" w:styleId="CorpodetextoChar">
    <w:name w:val="Corpo de texto Char"/>
    <w:link w:val="Corpodetexto"/>
    <w:uiPriority w:val="1"/>
    <w:rsid w:val="0036642C"/>
    <w:rPr>
      <w:rFonts w:ascii="Georgia" w:eastAsia="Georgia" w:hAnsi="Georgia" w:cs="Georgia"/>
      <w:sz w:val="24"/>
      <w:szCs w:val="24"/>
      <w:lang w:val="en-US" w:eastAsia="en-US"/>
    </w:rPr>
  </w:style>
  <w:style w:type="paragraph" w:styleId="Reviso">
    <w:name w:val="Revision"/>
    <w:hidden/>
    <w:uiPriority w:val="99"/>
    <w:semiHidden/>
    <w:rsid w:val="005206D4"/>
    <w:rPr>
      <w:rFonts w:ascii="Georgia" w:eastAsia="Georgia" w:hAnsi="Georgia" w:cs="Georgia"/>
      <w:sz w:val="22"/>
      <w:szCs w:val="22"/>
    </w:rPr>
  </w:style>
  <w:style w:type="character" w:styleId="Refdecomentrio">
    <w:name w:val="annotation reference"/>
    <w:basedOn w:val="Fontepargpadro"/>
    <w:uiPriority w:val="99"/>
    <w:semiHidden/>
    <w:unhideWhenUsed/>
    <w:rsid w:val="00883DCE"/>
    <w:rPr>
      <w:sz w:val="16"/>
      <w:szCs w:val="16"/>
    </w:rPr>
  </w:style>
  <w:style w:type="paragraph" w:styleId="Textodecomentrio">
    <w:name w:val="annotation text"/>
    <w:basedOn w:val="Normal"/>
    <w:link w:val="TextodecomentrioChar"/>
    <w:uiPriority w:val="99"/>
    <w:unhideWhenUsed/>
    <w:rsid w:val="00883DCE"/>
    <w:rPr>
      <w:sz w:val="20"/>
      <w:szCs w:val="20"/>
    </w:rPr>
  </w:style>
  <w:style w:type="character" w:customStyle="1" w:styleId="TextodecomentrioChar">
    <w:name w:val="Texto de comentário Char"/>
    <w:basedOn w:val="Fontepargpadro"/>
    <w:link w:val="Textodecomentrio"/>
    <w:uiPriority w:val="99"/>
    <w:rsid w:val="00883DCE"/>
    <w:rPr>
      <w:rFonts w:ascii="Georgia" w:eastAsia="Georgia" w:hAnsi="Georgia" w:cs="Georgia"/>
    </w:rPr>
  </w:style>
  <w:style w:type="paragraph" w:styleId="Assuntodocomentrio">
    <w:name w:val="annotation subject"/>
    <w:basedOn w:val="Textodecomentrio"/>
    <w:next w:val="Textodecomentrio"/>
    <w:link w:val="AssuntodocomentrioChar"/>
    <w:uiPriority w:val="99"/>
    <w:semiHidden/>
    <w:unhideWhenUsed/>
    <w:rsid w:val="00883DCE"/>
    <w:rPr>
      <w:b/>
      <w:bCs/>
    </w:rPr>
  </w:style>
  <w:style w:type="character" w:customStyle="1" w:styleId="AssuntodocomentrioChar">
    <w:name w:val="Assunto do comentário Char"/>
    <w:basedOn w:val="TextodecomentrioChar"/>
    <w:link w:val="Assuntodocomentrio"/>
    <w:uiPriority w:val="99"/>
    <w:semiHidden/>
    <w:rsid w:val="00883DCE"/>
    <w:rPr>
      <w:rFonts w:ascii="Georgia" w:eastAsia="Georgia" w:hAnsi="Georgia" w:cs="Georgia"/>
      <w:b/>
      <w:bCs/>
    </w:rPr>
  </w:style>
  <w:style w:type="paragraph" w:customStyle="1" w:styleId="ydp8fd201e1msonormal">
    <w:name w:val="ydp8fd201e1msonormal"/>
    <w:basedOn w:val="Normal"/>
    <w:rsid w:val="00230644"/>
    <w:pPr>
      <w:spacing w:before="100" w:beforeAutospacing="1" w:after="100" w:afterAutospacing="1"/>
    </w:pPr>
    <w:rPr>
      <w:sz w:val="24"/>
      <w:lang w:eastAsia="pt-BR"/>
    </w:rPr>
  </w:style>
  <w:style w:type="paragraph" w:styleId="Bibliografia">
    <w:name w:val="Bibliography"/>
    <w:basedOn w:val="Normal"/>
    <w:next w:val="Normal"/>
    <w:uiPriority w:val="37"/>
    <w:unhideWhenUsed/>
    <w:rsid w:val="00A030DB"/>
    <w:pPr>
      <w:spacing w:after="160" w:line="259" w:lineRule="auto"/>
    </w:pPr>
    <w:rPr>
      <w:rFonts w:asciiTheme="minorHAnsi" w:eastAsiaTheme="minorEastAsia" w:hAnsiTheme="minorHAnsi" w:cstheme="minorBidi"/>
      <w:lang w:eastAsia="pt-BR"/>
    </w:rPr>
  </w:style>
  <w:style w:type="paragraph" w:customStyle="1" w:styleId="Autor-REP">
    <w:name w:val="Autor-REP"/>
    <w:basedOn w:val="Normal"/>
    <w:autoRedefine/>
    <w:qFormat/>
    <w:rsid w:val="00FB2464"/>
    <w:pPr>
      <w:pBdr>
        <w:top w:val="nil"/>
        <w:left w:val="nil"/>
        <w:bottom w:val="nil"/>
        <w:right w:val="nil"/>
        <w:between w:val="nil"/>
      </w:pBdr>
      <w:suppressAutoHyphens/>
      <w:spacing w:before="480" w:after="480"/>
      <w:jc w:val="right"/>
    </w:pPr>
    <w:rPr>
      <w:rFonts w:eastAsiaTheme="minorEastAsia" w:cstheme="minorBidi"/>
      <w:b/>
      <w:caps/>
      <w:color w:val="auto"/>
      <w:kern w:val="22"/>
      <w:sz w:val="18"/>
      <w:szCs w:val="22"/>
      <w:lang w:val="en-GB" w:eastAsia="ja-JP"/>
    </w:rPr>
  </w:style>
  <w:style w:type="paragraph" w:styleId="Citao">
    <w:name w:val="Quote"/>
    <w:basedOn w:val="Normal"/>
    <w:next w:val="Normal"/>
    <w:link w:val="CitaoChar"/>
    <w:uiPriority w:val="29"/>
    <w:qFormat/>
    <w:rsid w:val="00FB2464"/>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FB2464"/>
    <w:rPr>
      <w:rFonts w:ascii="Times New Roman" w:eastAsiaTheme="minorHAnsi" w:hAnsi="Times New Roman"/>
      <w:i/>
      <w:iCs/>
      <w:color w:val="404040" w:themeColor="text1" w:themeTint="BF"/>
      <w:sz w:val="28"/>
      <w:szCs w:val="24"/>
      <w:lang w:val="pt-BR"/>
    </w:rPr>
  </w:style>
  <w:style w:type="paragraph" w:customStyle="1" w:styleId="Citao-REP">
    <w:name w:val="Citação-REP"/>
    <w:basedOn w:val="Citao"/>
    <w:autoRedefine/>
    <w:qFormat/>
    <w:rsid w:val="00FB2464"/>
    <w:pPr>
      <w:spacing w:before="120" w:after="120"/>
      <w:ind w:left="284" w:right="284"/>
      <w:jc w:val="both"/>
    </w:pPr>
    <w:rPr>
      <w:rFonts w:eastAsiaTheme="minorEastAsia" w:cstheme="minorBidi"/>
      <w:i w:val="0"/>
      <w:iCs w:val="0"/>
      <w:color w:val="auto"/>
      <w:sz w:val="22"/>
      <w:szCs w:val="22"/>
      <w:lang w:eastAsia="ja-JP"/>
    </w:rPr>
  </w:style>
  <w:style w:type="paragraph" w:customStyle="1" w:styleId="referencia-REP">
    <w:name w:val="referencia-REP"/>
    <w:basedOn w:val="Normal"/>
    <w:autoRedefine/>
    <w:qFormat/>
    <w:rsid w:val="00FB2464"/>
    <w:pPr>
      <w:widowControl w:val="0"/>
      <w:pBdr>
        <w:top w:val="nil"/>
        <w:left w:val="nil"/>
        <w:bottom w:val="nil"/>
        <w:right w:val="nil"/>
        <w:between w:val="nil"/>
      </w:pBdr>
      <w:suppressAutoHyphens/>
      <w:adjustRightInd w:val="0"/>
      <w:ind w:left="284" w:hanging="284"/>
      <w:contextualSpacing/>
      <w:jc w:val="both"/>
      <w:textAlignment w:val="baseline"/>
    </w:pPr>
    <w:rPr>
      <w:rFonts w:eastAsiaTheme="minorEastAsia" w:cstheme="minorBidi"/>
      <w:color w:val="00000A"/>
      <w:sz w:val="16"/>
      <w:szCs w:val="22"/>
      <w:lang w:val="en-GB" w:eastAsia="ar-SA"/>
    </w:rPr>
  </w:style>
  <w:style w:type="paragraph" w:customStyle="1" w:styleId="Resumo-REP">
    <w:name w:val="Resumo-REP"/>
    <w:basedOn w:val="Normal"/>
    <w:autoRedefine/>
    <w:qFormat/>
    <w:rsid w:val="00FB2464"/>
    <w:pPr>
      <w:widowControl w:val="0"/>
      <w:pBdr>
        <w:top w:val="single" w:sz="4" w:space="1" w:color="auto"/>
        <w:left w:val="single" w:sz="4" w:space="4" w:color="auto"/>
        <w:bottom w:val="single" w:sz="4" w:space="1" w:color="auto"/>
        <w:right w:val="single" w:sz="4" w:space="4" w:color="auto"/>
        <w:between w:val="nil"/>
      </w:pBdr>
      <w:suppressAutoHyphens/>
      <w:autoSpaceDE w:val="0"/>
      <w:autoSpaceDN w:val="0"/>
      <w:spacing w:after="480"/>
      <w:ind w:left="284" w:right="284" w:firstLine="284"/>
      <w:jc w:val="both"/>
    </w:pPr>
    <w:rPr>
      <w:rFonts w:eastAsiaTheme="minorEastAsia" w:cs="Arial"/>
      <w:color w:val="auto"/>
      <w:kern w:val="1"/>
      <w:sz w:val="18"/>
      <w:szCs w:val="22"/>
      <w:lang w:val="pt-PT" w:eastAsia="ar-SA"/>
    </w:rPr>
  </w:style>
  <w:style w:type="paragraph" w:customStyle="1" w:styleId="rodap-REP">
    <w:name w:val="rodapé-REP"/>
    <w:basedOn w:val="Normal"/>
    <w:autoRedefine/>
    <w:qFormat/>
    <w:rsid w:val="00F12471"/>
    <w:pPr>
      <w:pBdr>
        <w:top w:val="nil"/>
        <w:left w:val="nil"/>
        <w:bottom w:val="nil"/>
        <w:right w:val="nil"/>
        <w:between w:val="nil"/>
      </w:pBdr>
      <w:jc w:val="both"/>
    </w:pPr>
    <w:rPr>
      <w:rFonts w:eastAsiaTheme="minorEastAsia" w:cstheme="minorBidi"/>
      <w:color w:val="00000A"/>
      <w:sz w:val="16"/>
      <w:szCs w:val="22"/>
      <w:lang w:val="en-GB" w:eastAsia="es-ES"/>
    </w:rPr>
  </w:style>
  <w:style w:type="character" w:customStyle="1" w:styleId="Ttulo6Char">
    <w:name w:val="Título 6 Char"/>
    <w:basedOn w:val="Fontepargpadro"/>
    <w:link w:val="Ttulo6"/>
    <w:uiPriority w:val="9"/>
    <w:semiHidden/>
    <w:rsid w:val="00FB2464"/>
    <w:rPr>
      <w:rFonts w:asciiTheme="majorHAnsi" w:eastAsiaTheme="majorEastAsia" w:hAnsiTheme="majorHAnsi" w:cstheme="majorBidi"/>
      <w:color w:val="1F3763" w:themeColor="accent1" w:themeShade="7F"/>
      <w:sz w:val="28"/>
      <w:szCs w:val="24"/>
      <w:lang w:val="pt-BR"/>
    </w:rPr>
  </w:style>
  <w:style w:type="paragraph" w:customStyle="1" w:styleId="Seo2-REP">
    <w:name w:val="Seção 2-REP"/>
    <w:basedOn w:val="Ttulo6"/>
    <w:autoRedefine/>
    <w:qFormat/>
    <w:rsid w:val="00FB2464"/>
    <w:pPr>
      <w:keepNext w:val="0"/>
      <w:keepLines w:val="0"/>
      <w:spacing w:before="120" w:after="120"/>
    </w:pPr>
    <w:rPr>
      <w:rFonts w:ascii="Times New Roman" w:eastAsia="Times New Roman" w:hAnsi="Times New Roman" w:cs="Times New Roman"/>
      <w:b/>
      <w:bCs/>
      <w:color w:val="auto"/>
      <w:sz w:val="22"/>
      <w:szCs w:val="22"/>
      <w:lang w:val="en-GB" w:eastAsia="pt-BR"/>
    </w:rPr>
  </w:style>
  <w:style w:type="character" w:customStyle="1" w:styleId="Ttulo4Char">
    <w:name w:val="Título 4 Char"/>
    <w:basedOn w:val="Fontepargpadro"/>
    <w:link w:val="Ttulo4"/>
    <w:uiPriority w:val="9"/>
    <w:semiHidden/>
    <w:rsid w:val="00FB2464"/>
    <w:rPr>
      <w:rFonts w:asciiTheme="majorHAnsi" w:eastAsiaTheme="majorEastAsia" w:hAnsiTheme="majorHAnsi" w:cstheme="majorBidi"/>
      <w:i/>
      <w:iCs/>
      <w:color w:val="2F5496" w:themeColor="accent1" w:themeShade="BF"/>
      <w:sz w:val="28"/>
      <w:szCs w:val="24"/>
      <w:lang w:val="pt-BR"/>
    </w:rPr>
  </w:style>
  <w:style w:type="paragraph" w:customStyle="1" w:styleId="SeoI-REP">
    <w:name w:val="Seção I-REP"/>
    <w:basedOn w:val="Ttulo4"/>
    <w:autoRedefine/>
    <w:qFormat/>
    <w:rsid w:val="00FB2464"/>
    <w:pPr>
      <w:keepLines w:val="0"/>
      <w:spacing w:before="360" w:after="120"/>
    </w:pPr>
    <w:rPr>
      <w:rFonts w:ascii="Times New Roman" w:eastAsia="Calibri" w:hAnsi="Times New Roman" w:cs="Times New Roman"/>
      <w:b/>
      <w:i w:val="0"/>
      <w:iCs w:val="0"/>
      <w:caps/>
      <w:color w:val="auto"/>
      <w:sz w:val="22"/>
      <w:szCs w:val="22"/>
      <w:lang w:val="en-GB" w:eastAsia="pt-BR"/>
    </w:rPr>
  </w:style>
  <w:style w:type="paragraph" w:customStyle="1" w:styleId="Ttulo-REP">
    <w:name w:val="Título-REP"/>
    <w:basedOn w:val="Normal"/>
    <w:autoRedefine/>
    <w:qFormat/>
    <w:rsid w:val="00FB2464"/>
    <w:pPr>
      <w:suppressAutoHyphens/>
      <w:spacing w:before="1320" w:after="200"/>
      <w:jc w:val="center"/>
    </w:pPr>
    <w:rPr>
      <w:rFonts w:eastAsiaTheme="minorEastAsia" w:cstheme="minorBidi"/>
      <w:b/>
      <w:color w:val="auto"/>
      <w:sz w:val="32"/>
      <w:szCs w:val="22"/>
      <w:lang w:val="en-GB" w:eastAsia="ja-JP"/>
    </w:rPr>
  </w:style>
  <w:style w:type="paragraph" w:customStyle="1" w:styleId="Sub-Ttulo">
    <w:name w:val="Sub-Título"/>
    <w:basedOn w:val="Ttulo-REP"/>
    <w:qFormat/>
    <w:rsid w:val="00FB2464"/>
    <w:pPr>
      <w:spacing w:before="600"/>
    </w:pPr>
    <w:rPr>
      <w:b w:val="0"/>
      <w:sz w:val="28"/>
    </w:rPr>
  </w:style>
  <w:style w:type="paragraph" w:customStyle="1" w:styleId="Tabela-REP">
    <w:name w:val="Tabela-REP"/>
    <w:basedOn w:val="Normal"/>
    <w:autoRedefine/>
    <w:qFormat/>
    <w:rsid w:val="00A70B91"/>
    <w:pPr>
      <w:spacing w:beforeLines="60" w:before="144" w:afterLines="60" w:after="144"/>
      <w:ind w:left="720"/>
      <w:jc w:val="center"/>
    </w:pPr>
    <w:rPr>
      <w:rFonts w:eastAsia="Times New Roman" w:cstheme="minorBidi"/>
      <w:b/>
      <w:color w:val="00000A"/>
      <w:sz w:val="20"/>
      <w:szCs w:val="20"/>
      <w:lang w:val="en-US" w:eastAsia="pt-BR"/>
    </w:rPr>
  </w:style>
  <w:style w:type="paragraph" w:customStyle="1" w:styleId="texto-REP">
    <w:name w:val="texto-REP"/>
    <w:basedOn w:val="Normal"/>
    <w:autoRedefine/>
    <w:qFormat/>
    <w:rsid w:val="005E5845"/>
    <w:pPr>
      <w:widowControl w:val="0"/>
      <w:suppressAutoHyphens/>
      <w:adjustRightInd w:val="0"/>
      <w:spacing w:beforeLines="60" w:before="144" w:afterLines="60" w:after="144"/>
      <w:jc w:val="both"/>
      <w:textAlignment w:val="baseline"/>
    </w:pPr>
    <w:rPr>
      <w:rFonts w:eastAsiaTheme="minorEastAsia" w:cstheme="minorBidi"/>
      <w:color w:val="00000A"/>
      <w:kern w:val="22"/>
      <w:sz w:val="22"/>
      <w:szCs w:val="22"/>
      <w:lang w:val="en-GB" w:eastAsia="ar-SA"/>
    </w:rPr>
  </w:style>
  <w:style w:type="character" w:customStyle="1" w:styleId="Ttulo1Char">
    <w:name w:val="Título 1 Char"/>
    <w:basedOn w:val="Fontepargpadro"/>
    <w:link w:val="Ttulo1"/>
    <w:uiPriority w:val="9"/>
    <w:rsid w:val="00FB2464"/>
    <w:rPr>
      <w:rFonts w:asciiTheme="majorHAnsi" w:eastAsiaTheme="majorEastAsia" w:hAnsiTheme="majorHAnsi" w:cstheme="majorBidi"/>
      <w:color w:val="2F5496" w:themeColor="accent1" w:themeShade="BF"/>
      <w:sz w:val="32"/>
      <w:szCs w:val="32"/>
      <w:lang w:val="pt-BR"/>
    </w:rPr>
  </w:style>
  <w:style w:type="character" w:customStyle="1" w:styleId="UnresolvedMention">
    <w:name w:val="Unresolved Mention"/>
    <w:basedOn w:val="Fontepargpadro"/>
    <w:uiPriority w:val="99"/>
    <w:semiHidden/>
    <w:unhideWhenUsed/>
    <w:rsid w:val="00F14349"/>
    <w:rPr>
      <w:color w:val="605E5C"/>
      <w:shd w:val="clear" w:color="auto" w:fill="E1DFDD"/>
    </w:rPr>
  </w:style>
  <w:style w:type="paragraph" w:styleId="NormalWeb">
    <w:name w:val="Normal (Web)"/>
    <w:basedOn w:val="Normal"/>
    <w:uiPriority w:val="99"/>
    <w:unhideWhenUsed/>
    <w:rsid w:val="00F12471"/>
    <w:pPr>
      <w:spacing w:before="100" w:beforeAutospacing="1" w:after="100" w:afterAutospacing="1"/>
    </w:pPr>
    <w:rPr>
      <w:rFonts w:eastAsia="Times New Roman"/>
      <w:color w:val="auto"/>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1863">
      <w:bodyDiv w:val="1"/>
      <w:marLeft w:val="0"/>
      <w:marRight w:val="0"/>
      <w:marTop w:val="0"/>
      <w:marBottom w:val="0"/>
      <w:divBdr>
        <w:top w:val="none" w:sz="0" w:space="0" w:color="auto"/>
        <w:left w:val="none" w:sz="0" w:space="0" w:color="auto"/>
        <w:bottom w:val="none" w:sz="0" w:space="0" w:color="auto"/>
        <w:right w:val="none" w:sz="0" w:space="0" w:color="auto"/>
      </w:divBdr>
    </w:div>
    <w:div w:id="86341896">
      <w:bodyDiv w:val="1"/>
      <w:marLeft w:val="0"/>
      <w:marRight w:val="0"/>
      <w:marTop w:val="0"/>
      <w:marBottom w:val="0"/>
      <w:divBdr>
        <w:top w:val="none" w:sz="0" w:space="0" w:color="auto"/>
        <w:left w:val="none" w:sz="0" w:space="0" w:color="auto"/>
        <w:bottom w:val="none" w:sz="0" w:space="0" w:color="auto"/>
        <w:right w:val="none" w:sz="0" w:space="0" w:color="auto"/>
      </w:divBdr>
    </w:div>
    <w:div w:id="111752991">
      <w:bodyDiv w:val="1"/>
      <w:marLeft w:val="0"/>
      <w:marRight w:val="0"/>
      <w:marTop w:val="0"/>
      <w:marBottom w:val="0"/>
      <w:divBdr>
        <w:top w:val="none" w:sz="0" w:space="0" w:color="auto"/>
        <w:left w:val="none" w:sz="0" w:space="0" w:color="auto"/>
        <w:bottom w:val="none" w:sz="0" w:space="0" w:color="auto"/>
        <w:right w:val="none" w:sz="0" w:space="0" w:color="auto"/>
      </w:divBdr>
    </w:div>
    <w:div w:id="134297732">
      <w:bodyDiv w:val="1"/>
      <w:marLeft w:val="0"/>
      <w:marRight w:val="0"/>
      <w:marTop w:val="0"/>
      <w:marBottom w:val="0"/>
      <w:divBdr>
        <w:top w:val="none" w:sz="0" w:space="0" w:color="auto"/>
        <w:left w:val="none" w:sz="0" w:space="0" w:color="auto"/>
        <w:bottom w:val="none" w:sz="0" w:space="0" w:color="auto"/>
        <w:right w:val="none" w:sz="0" w:space="0" w:color="auto"/>
      </w:divBdr>
    </w:div>
    <w:div w:id="277223673">
      <w:bodyDiv w:val="1"/>
      <w:marLeft w:val="0"/>
      <w:marRight w:val="0"/>
      <w:marTop w:val="0"/>
      <w:marBottom w:val="0"/>
      <w:divBdr>
        <w:top w:val="none" w:sz="0" w:space="0" w:color="auto"/>
        <w:left w:val="none" w:sz="0" w:space="0" w:color="auto"/>
        <w:bottom w:val="none" w:sz="0" w:space="0" w:color="auto"/>
        <w:right w:val="none" w:sz="0" w:space="0" w:color="auto"/>
      </w:divBdr>
    </w:div>
    <w:div w:id="279606355">
      <w:bodyDiv w:val="1"/>
      <w:marLeft w:val="0"/>
      <w:marRight w:val="0"/>
      <w:marTop w:val="0"/>
      <w:marBottom w:val="0"/>
      <w:divBdr>
        <w:top w:val="none" w:sz="0" w:space="0" w:color="auto"/>
        <w:left w:val="none" w:sz="0" w:space="0" w:color="auto"/>
        <w:bottom w:val="none" w:sz="0" w:space="0" w:color="auto"/>
        <w:right w:val="none" w:sz="0" w:space="0" w:color="auto"/>
      </w:divBdr>
    </w:div>
    <w:div w:id="319694873">
      <w:bodyDiv w:val="1"/>
      <w:marLeft w:val="0"/>
      <w:marRight w:val="0"/>
      <w:marTop w:val="0"/>
      <w:marBottom w:val="0"/>
      <w:divBdr>
        <w:top w:val="none" w:sz="0" w:space="0" w:color="auto"/>
        <w:left w:val="none" w:sz="0" w:space="0" w:color="auto"/>
        <w:bottom w:val="none" w:sz="0" w:space="0" w:color="auto"/>
        <w:right w:val="none" w:sz="0" w:space="0" w:color="auto"/>
      </w:divBdr>
    </w:div>
    <w:div w:id="355935531">
      <w:bodyDiv w:val="1"/>
      <w:marLeft w:val="0"/>
      <w:marRight w:val="0"/>
      <w:marTop w:val="0"/>
      <w:marBottom w:val="0"/>
      <w:divBdr>
        <w:top w:val="none" w:sz="0" w:space="0" w:color="auto"/>
        <w:left w:val="none" w:sz="0" w:space="0" w:color="auto"/>
        <w:bottom w:val="none" w:sz="0" w:space="0" w:color="auto"/>
        <w:right w:val="none" w:sz="0" w:space="0" w:color="auto"/>
      </w:divBdr>
    </w:div>
    <w:div w:id="389500636">
      <w:bodyDiv w:val="1"/>
      <w:marLeft w:val="0"/>
      <w:marRight w:val="0"/>
      <w:marTop w:val="0"/>
      <w:marBottom w:val="0"/>
      <w:divBdr>
        <w:top w:val="none" w:sz="0" w:space="0" w:color="auto"/>
        <w:left w:val="none" w:sz="0" w:space="0" w:color="auto"/>
        <w:bottom w:val="none" w:sz="0" w:space="0" w:color="auto"/>
        <w:right w:val="none" w:sz="0" w:space="0" w:color="auto"/>
      </w:divBdr>
    </w:div>
    <w:div w:id="445000135">
      <w:bodyDiv w:val="1"/>
      <w:marLeft w:val="0"/>
      <w:marRight w:val="0"/>
      <w:marTop w:val="0"/>
      <w:marBottom w:val="0"/>
      <w:divBdr>
        <w:top w:val="none" w:sz="0" w:space="0" w:color="auto"/>
        <w:left w:val="none" w:sz="0" w:space="0" w:color="auto"/>
        <w:bottom w:val="none" w:sz="0" w:space="0" w:color="auto"/>
        <w:right w:val="none" w:sz="0" w:space="0" w:color="auto"/>
      </w:divBdr>
      <w:divsChild>
        <w:div w:id="1891765303">
          <w:marLeft w:val="0"/>
          <w:marRight w:val="0"/>
          <w:marTop w:val="0"/>
          <w:marBottom w:val="0"/>
          <w:divBdr>
            <w:top w:val="none" w:sz="0" w:space="0" w:color="auto"/>
            <w:left w:val="none" w:sz="0" w:space="0" w:color="auto"/>
            <w:bottom w:val="none" w:sz="0" w:space="0" w:color="auto"/>
            <w:right w:val="none" w:sz="0" w:space="0" w:color="auto"/>
          </w:divBdr>
          <w:divsChild>
            <w:div w:id="1640726246">
              <w:marLeft w:val="0"/>
              <w:marRight w:val="0"/>
              <w:marTop w:val="0"/>
              <w:marBottom w:val="0"/>
              <w:divBdr>
                <w:top w:val="none" w:sz="0" w:space="0" w:color="auto"/>
                <w:left w:val="none" w:sz="0" w:space="0" w:color="auto"/>
                <w:bottom w:val="none" w:sz="0" w:space="0" w:color="auto"/>
                <w:right w:val="none" w:sz="0" w:space="0" w:color="auto"/>
              </w:divBdr>
              <w:divsChild>
                <w:div w:id="13910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24197">
      <w:bodyDiv w:val="1"/>
      <w:marLeft w:val="0"/>
      <w:marRight w:val="0"/>
      <w:marTop w:val="0"/>
      <w:marBottom w:val="0"/>
      <w:divBdr>
        <w:top w:val="none" w:sz="0" w:space="0" w:color="auto"/>
        <w:left w:val="none" w:sz="0" w:space="0" w:color="auto"/>
        <w:bottom w:val="none" w:sz="0" w:space="0" w:color="auto"/>
        <w:right w:val="none" w:sz="0" w:space="0" w:color="auto"/>
      </w:divBdr>
    </w:div>
    <w:div w:id="757751436">
      <w:bodyDiv w:val="1"/>
      <w:marLeft w:val="0"/>
      <w:marRight w:val="0"/>
      <w:marTop w:val="0"/>
      <w:marBottom w:val="0"/>
      <w:divBdr>
        <w:top w:val="none" w:sz="0" w:space="0" w:color="auto"/>
        <w:left w:val="none" w:sz="0" w:space="0" w:color="auto"/>
        <w:bottom w:val="none" w:sz="0" w:space="0" w:color="auto"/>
        <w:right w:val="none" w:sz="0" w:space="0" w:color="auto"/>
      </w:divBdr>
    </w:div>
    <w:div w:id="797918464">
      <w:bodyDiv w:val="1"/>
      <w:marLeft w:val="0"/>
      <w:marRight w:val="0"/>
      <w:marTop w:val="0"/>
      <w:marBottom w:val="0"/>
      <w:divBdr>
        <w:top w:val="none" w:sz="0" w:space="0" w:color="auto"/>
        <w:left w:val="none" w:sz="0" w:space="0" w:color="auto"/>
        <w:bottom w:val="none" w:sz="0" w:space="0" w:color="auto"/>
        <w:right w:val="none" w:sz="0" w:space="0" w:color="auto"/>
      </w:divBdr>
    </w:div>
    <w:div w:id="877622420">
      <w:bodyDiv w:val="1"/>
      <w:marLeft w:val="0"/>
      <w:marRight w:val="0"/>
      <w:marTop w:val="0"/>
      <w:marBottom w:val="0"/>
      <w:divBdr>
        <w:top w:val="none" w:sz="0" w:space="0" w:color="auto"/>
        <w:left w:val="none" w:sz="0" w:space="0" w:color="auto"/>
        <w:bottom w:val="none" w:sz="0" w:space="0" w:color="auto"/>
        <w:right w:val="none" w:sz="0" w:space="0" w:color="auto"/>
      </w:divBdr>
    </w:div>
    <w:div w:id="959536962">
      <w:bodyDiv w:val="1"/>
      <w:marLeft w:val="0"/>
      <w:marRight w:val="0"/>
      <w:marTop w:val="0"/>
      <w:marBottom w:val="0"/>
      <w:divBdr>
        <w:top w:val="none" w:sz="0" w:space="0" w:color="auto"/>
        <w:left w:val="none" w:sz="0" w:space="0" w:color="auto"/>
        <w:bottom w:val="none" w:sz="0" w:space="0" w:color="auto"/>
        <w:right w:val="none" w:sz="0" w:space="0" w:color="auto"/>
      </w:divBdr>
    </w:div>
    <w:div w:id="1034695504">
      <w:bodyDiv w:val="1"/>
      <w:marLeft w:val="0"/>
      <w:marRight w:val="0"/>
      <w:marTop w:val="0"/>
      <w:marBottom w:val="0"/>
      <w:divBdr>
        <w:top w:val="none" w:sz="0" w:space="0" w:color="auto"/>
        <w:left w:val="none" w:sz="0" w:space="0" w:color="auto"/>
        <w:bottom w:val="none" w:sz="0" w:space="0" w:color="auto"/>
        <w:right w:val="none" w:sz="0" w:space="0" w:color="auto"/>
      </w:divBdr>
    </w:div>
    <w:div w:id="1052269801">
      <w:bodyDiv w:val="1"/>
      <w:marLeft w:val="0"/>
      <w:marRight w:val="0"/>
      <w:marTop w:val="0"/>
      <w:marBottom w:val="0"/>
      <w:divBdr>
        <w:top w:val="none" w:sz="0" w:space="0" w:color="auto"/>
        <w:left w:val="none" w:sz="0" w:space="0" w:color="auto"/>
        <w:bottom w:val="none" w:sz="0" w:space="0" w:color="auto"/>
        <w:right w:val="none" w:sz="0" w:space="0" w:color="auto"/>
      </w:divBdr>
    </w:div>
    <w:div w:id="1101954874">
      <w:bodyDiv w:val="1"/>
      <w:marLeft w:val="0"/>
      <w:marRight w:val="0"/>
      <w:marTop w:val="0"/>
      <w:marBottom w:val="0"/>
      <w:divBdr>
        <w:top w:val="none" w:sz="0" w:space="0" w:color="auto"/>
        <w:left w:val="none" w:sz="0" w:space="0" w:color="auto"/>
        <w:bottom w:val="none" w:sz="0" w:space="0" w:color="auto"/>
        <w:right w:val="none" w:sz="0" w:space="0" w:color="auto"/>
      </w:divBdr>
    </w:div>
    <w:div w:id="1127163331">
      <w:bodyDiv w:val="1"/>
      <w:marLeft w:val="0"/>
      <w:marRight w:val="0"/>
      <w:marTop w:val="0"/>
      <w:marBottom w:val="0"/>
      <w:divBdr>
        <w:top w:val="none" w:sz="0" w:space="0" w:color="auto"/>
        <w:left w:val="none" w:sz="0" w:space="0" w:color="auto"/>
        <w:bottom w:val="none" w:sz="0" w:space="0" w:color="auto"/>
        <w:right w:val="none" w:sz="0" w:space="0" w:color="auto"/>
      </w:divBdr>
      <w:divsChild>
        <w:div w:id="1321083428">
          <w:marLeft w:val="45"/>
          <w:marRight w:val="45"/>
          <w:marTop w:val="15"/>
          <w:marBottom w:val="0"/>
          <w:divBdr>
            <w:top w:val="none" w:sz="0" w:space="0" w:color="auto"/>
            <w:left w:val="none" w:sz="0" w:space="0" w:color="auto"/>
            <w:bottom w:val="none" w:sz="0" w:space="0" w:color="auto"/>
            <w:right w:val="none" w:sz="0" w:space="0" w:color="auto"/>
          </w:divBdr>
          <w:divsChild>
            <w:div w:id="514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6328">
      <w:bodyDiv w:val="1"/>
      <w:marLeft w:val="0"/>
      <w:marRight w:val="0"/>
      <w:marTop w:val="0"/>
      <w:marBottom w:val="0"/>
      <w:divBdr>
        <w:top w:val="none" w:sz="0" w:space="0" w:color="auto"/>
        <w:left w:val="none" w:sz="0" w:space="0" w:color="auto"/>
        <w:bottom w:val="none" w:sz="0" w:space="0" w:color="auto"/>
        <w:right w:val="none" w:sz="0" w:space="0" w:color="auto"/>
      </w:divBdr>
    </w:div>
    <w:div w:id="1187476785">
      <w:bodyDiv w:val="1"/>
      <w:marLeft w:val="0"/>
      <w:marRight w:val="0"/>
      <w:marTop w:val="0"/>
      <w:marBottom w:val="0"/>
      <w:divBdr>
        <w:top w:val="none" w:sz="0" w:space="0" w:color="auto"/>
        <w:left w:val="none" w:sz="0" w:space="0" w:color="auto"/>
        <w:bottom w:val="none" w:sz="0" w:space="0" w:color="auto"/>
        <w:right w:val="none" w:sz="0" w:space="0" w:color="auto"/>
      </w:divBdr>
    </w:div>
    <w:div w:id="1191719770">
      <w:bodyDiv w:val="1"/>
      <w:marLeft w:val="0"/>
      <w:marRight w:val="0"/>
      <w:marTop w:val="0"/>
      <w:marBottom w:val="0"/>
      <w:divBdr>
        <w:top w:val="none" w:sz="0" w:space="0" w:color="auto"/>
        <w:left w:val="none" w:sz="0" w:space="0" w:color="auto"/>
        <w:bottom w:val="none" w:sz="0" w:space="0" w:color="auto"/>
        <w:right w:val="none" w:sz="0" w:space="0" w:color="auto"/>
      </w:divBdr>
      <w:divsChild>
        <w:div w:id="122889264">
          <w:marLeft w:val="0"/>
          <w:marRight w:val="0"/>
          <w:marTop w:val="0"/>
          <w:marBottom w:val="0"/>
          <w:divBdr>
            <w:top w:val="none" w:sz="0" w:space="0" w:color="auto"/>
            <w:left w:val="none" w:sz="0" w:space="0" w:color="auto"/>
            <w:bottom w:val="none" w:sz="0" w:space="0" w:color="auto"/>
            <w:right w:val="none" w:sz="0" w:space="0" w:color="auto"/>
          </w:divBdr>
          <w:divsChild>
            <w:div w:id="2051764178">
              <w:marLeft w:val="0"/>
              <w:marRight w:val="60"/>
              <w:marTop w:val="0"/>
              <w:marBottom w:val="0"/>
              <w:divBdr>
                <w:top w:val="none" w:sz="0" w:space="0" w:color="auto"/>
                <w:left w:val="none" w:sz="0" w:space="0" w:color="auto"/>
                <w:bottom w:val="none" w:sz="0" w:space="0" w:color="auto"/>
                <w:right w:val="none" w:sz="0" w:space="0" w:color="auto"/>
              </w:divBdr>
              <w:divsChild>
                <w:div w:id="1612080125">
                  <w:marLeft w:val="0"/>
                  <w:marRight w:val="0"/>
                  <w:marTop w:val="0"/>
                  <w:marBottom w:val="120"/>
                  <w:divBdr>
                    <w:top w:val="single" w:sz="6" w:space="0" w:color="C0C0C0"/>
                    <w:left w:val="single" w:sz="6" w:space="0" w:color="D9D9D9"/>
                    <w:bottom w:val="single" w:sz="6" w:space="0" w:color="D9D9D9"/>
                    <w:right w:val="single" w:sz="6" w:space="0" w:color="D9D9D9"/>
                  </w:divBdr>
                  <w:divsChild>
                    <w:div w:id="1522357820">
                      <w:marLeft w:val="0"/>
                      <w:marRight w:val="0"/>
                      <w:marTop w:val="0"/>
                      <w:marBottom w:val="0"/>
                      <w:divBdr>
                        <w:top w:val="none" w:sz="0" w:space="0" w:color="auto"/>
                        <w:left w:val="none" w:sz="0" w:space="0" w:color="auto"/>
                        <w:bottom w:val="none" w:sz="0" w:space="0" w:color="auto"/>
                        <w:right w:val="none" w:sz="0" w:space="0" w:color="auto"/>
                      </w:divBdr>
                    </w:div>
                    <w:div w:id="1688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70738">
          <w:marLeft w:val="0"/>
          <w:marRight w:val="0"/>
          <w:marTop w:val="0"/>
          <w:marBottom w:val="0"/>
          <w:divBdr>
            <w:top w:val="none" w:sz="0" w:space="0" w:color="auto"/>
            <w:left w:val="none" w:sz="0" w:space="0" w:color="auto"/>
            <w:bottom w:val="none" w:sz="0" w:space="0" w:color="auto"/>
            <w:right w:val="none" w:sz="0" w:space="0" w:color="auto"/>
          </w:divBdr>
          <w:divsChild>
            <w:div w:id="820462801">
              <w:marLeft w:val="60"/>
              <w:marRight w:val="0"/>
              <w:marTop w:val="0"/>
              <w:marBottom w:val="0"/>
              <w:divBdr>
                <w:top w:val="none" w:sz="0" w:space="0" w:color="auto"/>
                <w:left w:val="none" w:sz="0" w:space="0" w:color="auto"/>
                <w:bottom w:val="none" w:sz="0" w:space="0" w:color="auto"/>
                <w:right w:val="none" w:sz="0" w:space="0" w:color="auto"/>
              </w:divBdr>
              <w:divsChild>
                <w:div w:id="372462449">
                  <w:marLeft w:val="0"/>
                  <w:marRight w:val="0"/>
                  <w:marTop w:val="0"/>
                  <w:marBottom w:val="0"/>
                  <w:divBdr>
                    <w:top w:val="none" w:sz="0" w:space="0" w:color="auto"/>
                    <w:left w:val="none" w:sz="0" w:space="0" w:color="auto"/>
                    <w:bottom w:val="none" w:sz="0" w:space="0" w:color="auto"/>
                    <w:right w:val="none" w:sz="0" w:space="0" w:color="auto"/>
                  </w:divBdr>
                  <w:divsChild>
                    <w:div w:id="1476096165">
                      <w:marLeft w:val="0"/>
                      <w:marRight w:val="0"/>
                      <w:marTop w:val="0"/>
                      <w:marBottom w:val="120"/>
                      <w:divBdr>
                        <w:top w:val="single" w:sz="6" w:space="0" w:color="F5F5F5"/>
                        <w:left w:val="single" w:sz="6" w:space="0" w:color="F5F5F5"/>
                        <w:bottom w:val="single" w:sz="6" w:space="0" w:color="F5F5F5"/>
                        <w:right w:val="single" w:sz="6" w:space="0" w:color="F5F5F5"/>
                      </w:divBdr>
                      <w:divsChild>
                        <w:div w:id="1266109194">
                          <w:marLeft w:val="0"/>
                          <w:marRight w:val="0"/>
                          <w:marTop w:val="0"/>
                          <w:marBottom w:val="0"/>
                          <w:divBdr>
                            <w:top w:val="none" w:sz="0" w:space="0" w:color="auto"/>
                            <w:left w:val="none" w:sz="0" w:space="0" w:color="auto"/>
                            <w:bottom w:val="none" w:sz="0" w:space="0" w:color="auto"/>
                            <w:right w:val="none" w:sz="0" w:space="0" w:color="auto"/>
                          </w:divBdr>
                          <w:divsChild>
                            <w:div w:id="14125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200983">
      <w:bodyDiv w:val="1"/>
      <w:marLeft w:val="0"/>
      <w:marRight w:val="0"/>
      <w:marTop w:val="0"/>
      <w:marBottom w:val="0"/>
      <w:divBdr>
        <w:top w:val="none" w:sz="0" w:space="0" w:color="auto"/>
        <w:left w:val="none" w:sz="0" w:space="0" w:color="auto"/>
        <w:bottom w:val="none" w:sz="0" w:space="0" w:color="auto"/>
        <w:right w:val="none" w:sz="0" w:space="0" w:color="auto"/>
      </w:divBdr>
    </w:div>
    <w:div w:id="1237981668">
      <w:bodyDiv w:val="1"/>
      <w:marLeft w:val="0"/>
      <w:marRight w:val="0"/>
      <w:marTop w:val="0"/>
      <w:marBottom w:val="0"/>
      <w:divBdr>
        <w:top w:val="none" w:sz="0" w:space="0" w:color="auto"/>
        <w:left w:val="none" w:sz="0" w:space="0" w:color="auto"/>
        <w:bottom w:val="none" w:sz="0" w:space="0" w:color="auto"/>
        <w:right w:val="none" w:sz="0" w:space="0" w:color="auto"/>
      </w:divBdr>
    </w:div>
    <w:div w:id="1262300215">
      <w:bodyDiv w:val="1"/>
      <w:marLeft w:val="0"/>
      <w:marRight w:val="0"/>
      <w:marTop w:val="0"/>
      <w:marBottom w:val="0"/>
      <w:divBdr>
        <w:top w:val="none" w:sz="0" w:space="0" w:color="auto"/>
        <w:left w:val="none" w:sz="0" w:space="0" w:color="auto"/>
        <w:bottom w:val="none" w:sz="0" w:space="0" w:color="auto"/>
        <w:right w:val="none" w:sz="0" w:space="0" w:color="auto"/>
      </w:divBdr>
    </w:div>
    <w:div w:id="1307272919">
      <w:bodyDiv w:val="1"/>
      <w:marLeft w:val="0"/>
      <w:marRight w:val="0"/>
      <w:marTop w:val="0"/>
      <w:marBottom w:val="0"/>
      <w:divBdr>
        <w:top w:val="none" w:sz="0" w:space="0" w:color="auto"/>
        <w:left w:val="none" w:sz="0" w:space="0" w:color="auto"/>
        <w:bottom w:val="none" w:sz="0" w:space="0" w:color="auto"/>
        <w:right w:val="none" w:sz="0" w:space="0" w:color="auto"/>
      </w:divBdr>
    </w:div>
    <w:div w:id="1436360425">
      <w:bodyDiv w:val="1"/>
      <w:marLeft w:val="0"/>
      <w:marRight w:val="0"/>
      <w:marTop w:val="0"/>
      <w:marBottom w:val="0"/>
      <w:divBdr>
        <w:top w:val="none" w:sz="0" w:space="0" w:color="auto"/>
        <w:left w:val="none" w:sz="0" w:space="0" w:color="auto"/>
        <w:bottom w:val="none" w:sz="0" w:space="0" w:color="auto"/>
        <w:right w:val="none" w:sz="0" w:space="0" w:color="auto"/>
      </w:divBdr>
      <w:divsChild>
        <w:div w:id="110366383">
          <w:marLeft w:val="0"/>
          <w:marRight w:val="0"/>
          <w:marTop w:val="0"/>
          <w:marBottom w:val="240"/>
          <w:divBdr>
            <w:top w:val="none" w:sz="0" w:space="0" w:color="auto"/>
            <w:left w:val="none" w:sz="0" w:space="0" w:color="auto"/>
            <w:bottom w:val="none" w:sz="0" w:space="0" w:color="auto"/>
            <w:right w:val="none" w:sz="0" w:space="0" w:color="auto"/>
          </w:divBdr>
        </w:div>
        <w:div w:id="1277639533">
          <w:marLeft w:val="0"/>
          <w:marRight w:val="0"/>
          <w:marTop w:val="120"/>
          <w:marBottom w:val="288"/>
          <w:divBdr>
            <w:top w:val="none" w:sz="0" w:space="0" w:color="auto"/>
            <w:left w:val="none" w:sz="0" w:space="0" w:color="auto"/>
            <w:bottom w:val="none" w:sz="0" w:space="0" w:color="auto"/>
            <w:right w:val="none" w:sz="0" w:space="0" w:color="auto"/>
          </w:divBdr>
        </w:div>
      </w:divsChild>
    </w:div>
    <w:div w:id="1495561782">
      <w:bodyDiv w:val="1"/>
      <w:marLeft w:val="0"/>
      <w:marRight w:val="0"/>
      <w:marTop w:val="0"/>
      <w:marBottom w:val="0"/>
      <w:divBdr>
        <w:top w:val="none" w:sz="0" w:space="0" w:color="auto"/>
        <w:left w:val="none" w:sz="0" w:space="0" w:color="auto"/>
        <w:bottom w:val="none" w:sz="0" w:space="0" w:color="auto"/>
        <w:right w:val="none" w:sz="0" w:space="0" w:color="auto"/>
      </w:divBdr>
    </w:div>
    <w:div w:id="1546523131">
      <w:bodyDiv w:val="1"/>
      <w:marLeft w:val="0"/>
      <w:marRight w:val="0"/>
      <w:marTop w:val="0"/>
      <w:marBottom w:val="0"/>
      <w:divBdr>
        <w:top w:val="none" w:sz="0" w:space="0" w:color="auto"/>
        <w:left w:val="none" w:sz="0" w:space="0" w:color="auto"/>
        <w:bottom w:val="none" w:sz="0" w:space="0" w:color="auto"/>
        <w:right w:val="none" w:sz="0" w:space="0" w:color="auto"/>
      </w:divBdr>
    </w:div>
    <w:div w:id="1555579317">
      <w:bodyDiv w:val="1"/>
      <w:marLeft w:val="0"/>
      <w:marRight w:val="0"/>
      <w:marTop w:val="0"/>
      <w:marBottom w:val="0"/>
      <w:divBdr>
        <w:top w:val="none" w:sz="0" w:space="0" w:color="auto"/>
        <w:left w:val="none" w:sz="0" w:space="0" w:color="auto"/>
        <w:bottom w:val="none" w:sz="0" w:space="0" w:color="auto"/>
        <w:right w:val="none" w:sz="0" w:space="0" w:color="auto"/>
      </w:divBdr>
      <w:divsChild>
        <w:div w:id="794369018">
          <w:marLeft w:val="0"/>
          <w:marRight w:val="0"/>
          <w:marTop w:val="0"/>
          <w:marBottom w:val="0"/>
          <w:divBdr>
            <w:top w:val="none" w:sz="0" w:space="0" w:color="auto"/>
            <w:left w:val="none" w:sz="0" w:space="0" w:color="auto"/>
            <w:bottom w:val="none" w:sz="0" w:space="0" w:color="auto"/>
            <w:right w:val="none" w:sz="0" w:space="0" w:color="auto"/>
          </w:divBdr>
          <w:divsChild>
            <w:div w:id="349457878">
              <w:marLeft w:val="60"/>
              <w:marRight w:val="0"/>
              <w:marTop w:val="0"/>
              <w:marBottom w:val="0"/>
              <w:divBdr>
                <w:top w:val="none" w:sz="0" w:space="0" w:color="auto"/>
                <w:left w:val="none" w:sz="0" w:space="0" w:color="auto"/>
                <w:bottom w:val="none" w:sz="0" w:space="0" w:color="auto"/>
                <w:right w:val="none" w:sz="0" w:space="0" w:color="auto"/>
              </w:divBdr>
              <w:divsChild>
                <w:div w:id="1686207677">
                  <w:marLeft w:val="0"/>
                  <w:marRight w:val="0"/>
                  <w:marTop w:val="0"/>
                  <w:marBottom w:val="0"/>
                  <w:divBdr>
                    <w:top w:val="none" w:sz="0" w:space="0" w:color="auto"/>
                    <w:left w:val="none" w:sz="0" w:space="0" w:color="auto"/>
                    <w:bottom w:val="none" w:sz="0" w:space="0" w:color="auto"/>
                    <w:right w:val="none" w:sz="0" w:space="0" w:color="auto"/>
                  </w:divBdr>
                  <w:divsChild>
                    <w:div w:id="2045670391">
                      <w:marLeft w:val="0"/>
                      <w:marRight w:val="0"/>
                      <w:marTop w:val="0"/>
                      <w:marBottom w:val="120"/>
                      <w:divBdr>
                        <w:top w:val="single" w:sz="6" w:space="0" w:color="F5F5F5"/>
                        <w:left w:val="single" w:sz="6" w:space="0" w:color="F5F5F5"/>
                        <w:bottom w:val="single" w:sz="6" w:space="0" w:color="F5F5F5"/>
                        <w:right w:val="single" w:sz="6" w:space="0" w:color="F5F5F5"/>
                      </w:divBdr>
                      <w:divsChild>
                        <w:div w:id="956989399">
                          <w:marLeft w:val="0"/>
                          <w:marRight w:val="0"/>
                          <w:marTop w:val="0"/>
                          <w:marBottom w:val="0"/>
                          <w:divBdr>
                            <w:top w:val="none" w:sz="0" w:space="0" w:color="auto"/>
                            <w:left w:val="none" w:sz="0" w:space="0" w:color="auto"/>
                            <w:bottom w:val="none" w:sz="0" w:space="0" w:color="auto"/>
                            <w:right w:val="none" w:sz="0" w:space="0" w:color="auto"/>
                          </w:divBdr>
                          <w:divsChild>
                            <w:div w:id="7634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06645">
          <w:marLeft w:val="0"/>
          <w:marRight w:val="0"/>
          <w:marTop w:val="0"/>
          <w:marBottom w:val="0"/>
          <w:divBdr>
            <w:top w:val="none" w:sz="0" w:space="0" w:color="auto"/>
            <w:left w:val="none" w:sz="0" w:space="0" w:color="auto"/>
            <w:bottom w:val="none" w:sz="0" w:space="0" w:color="auto"/>
            <w:right w:val="none" w:sz="0" w:space="0" w:color="auto"/>
          </w:divBdr>
          <w:divsChild>
            <w:div w:id="1748502043">
              <w:marLeft w:val="0"/>
              <w:marRight w:val="60"/>
              <w:marTop w:val="0"/>
              <w:marBottom w:val="0"/>
              <w:divBdr>
                <w:top w:val="none" w:sz="0" w:space="0" w:color="auto"/>
                <w:left w:val="none" w:sz="0" w:space="0" w:color="auto"/>
                <w:bottom w:val="none" w:sz="0" w:space="0" w:color="auto"/>
                <w:right w:val="none" w:sz="0" w:space="0" w:color="auto"/>
              </w:divBdr>
              <w:divsChild>
                <w:div w:id="280041720">
                  <w:marLeft w:val="0"/>
                  <w:marRight w:val="0"/>
                  <w:marTop w:val="0"/>
                  <w:marBottom w:val="120"/>
                  <w:divBdr>
                    <w:top w:val="single" w:sz="6" w:space="0" w:color="C0C0C0"/>
                    <w:left w:val="single" w:sz="6" w:space="0" w:color="D9D9D9"/>
                    <w:bottom w:val="single" w:sz="6" w:space="0" w:color="D9D9D9"/>
                    <w:right w:val="single" w:sz="6" w:space="0" w:color="D9D9D9"/>
                  </w:divBdr>
                  <w:divsChild>
                    <w:div w:id="594292874">
                      <w:marLeft w:val="0"/>
                      <w:marRight w:val="0"/>
                      <w:marTop w:val="0"/>
                      <w:marBottom w:val="0"/>
                      <w:divBdr>
                        <w:top w:val="none" w:sz="0" w:space="0" w:color="auto"/>
                        <w:left w:val="none" w:sz="0" w:space="0" w:color="auto"/>
                        <w:bottom w:val="none" w:sz="0" w:space="0" w:color="auto"/>
                        <w:right w:val="none" w:sz="0" w:space="0" w:color="auto"/>
                      </w:divBdr>
                    </w:div>
                    <w:div w:id="6171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51090">
      <w:bodyDiv w:val="1"/>
      <w:marLeft w:val="0"/>
      <w:marRight w:val="0"/>
      <w:marTop w:val="0"/>
      <w:marBottom w:val="0"/>
      <w:divBdr>
        <w:top w:val="none" w:sz="0" w:space="0" w:color="auto"/>
        <w:left w:val="none" w:sz="0" w:space="0" w:color="auto"/>
        <w:bottom w:val="none" w:sz="0" w:space="0" w:color="auto"/>
        <w:right w:val="none" w:sz="0" w:space="0" w:color="auto"/>
      </w:divBdr>
      <w:divsChild>
        <w:div w:id="1970235567">
          <w:marLeft w:val="0"/>
          <w:marRight w:val="0"/>
          <w:marTop w:val="0"/>
          <w:marBottom w:val="0"/>
          <w:divBdr>
            <w:top w:val="none" w:sz="0" w:space="0" w:color="auto"/>
            <w:left w:val="none" w:sz="0" w:space="0" w:color="auto"/>
            <w:bottom w:val="none" w:sz="0" w:space="0" w:color="auto"/>
            <w:right w:val="none" w:sz="0" w:space="0" w:color="auto"/>
          </w:divBdr>
          <w:divsChild>
            <w:div w:id="1326594959">
              <w:marLeft w:val="0"/>
              <w:marRight w:val="60"/>
              <w:marTop w:val="0"/>
              <w:marBottom w:val="0"/>
              <w:divBdr>
                <w:top w:val="none" w:sz="0" w:space="0" w:color="auto"/>
                <w:left w:val="none" w:sz="0" w:space="0" w:color="auto"/>
                <w:bottom w:val="none" w:sz="0" w:space="0" w:color="auto"/>
                <w:right w:val="none" w:sz="0" w:space="0" w:color="auto"/>
              </w:divBdr>
              <w:divsChild>
                <w:div w:id="1516650709">
                  <w:marLeft w:val="0"/>
                  <w:marRight w:val="0"/>
                  <w:marTop w:val="0"/>
                  <w:marBottom w:val="120"/>
                  <w:divBdr>
                    <w:top w:val="single" w:sz="6" w:space="0" w:color="C0C0C0"/>
                    <w:left w:val="single" w:sz="6" w:space="0" w:color="D9D9D9"/>
                    <w:bottom w:val="single" w:sz="6" w:space="0" w:color="D9D9D9"/>
                    <w:right w:val="single" w:sz="6" w:space="0" w:color="D9D9D9"/>
                  </w:divBdr>
                  <w:divsChild>
                    <w:div w:id="995913488">
                      <w:marLeft w:val="0"/>
                      <w:marRight w:val="0"/>
                      <w:marTop w:val="0"/>
                      <w:marBottom w:val="0"/>
                      <w:divBdr>
                        <w:top w:val="none" w:sz="0" w:space="0" w:color="auto"/>
                        <w:left w:val="none" w:sz="0" w:space="0" w:color="auto"/>
                        <w:bottom w:val="none" w:sz="0" w:space="0" w:color="auto"/>
                        <w:right w:val="none" w:sz="0" w:space="0" w:color="auto"/>
                      </w:divBdr>
                    </w:div>
                    <w:div w:id="17003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79344">
          <w:marLeft w:val="0"/>
          <w:marRight w:val="0"/>
          <w:marTop w:val="0"/>
          <w:marBottom w:val="0"/>
          <w:divBdr>
            <w:top w:val="none" w:sz="0" w:space="0" w:color="auto"/>
            <w:left w:val="none" w:sz="0" w:space="0" w:color="auto"/>
            <w:bottom w:val="none" w:sz="0" w:space="0" w:color="auto"/>
            <w:right w:val="none" w:sz="0" w:space="0" w:color="auto"/>
          </w:divBdr>
          <w:divsChild>
            <w:div w:id="1466656461">
              <w:marLeft w:val="60"/>
              <w:marRight w:val="0"/>
              <w:marTop w:val="0"/>
              <w:marBottom w:val="0"/>
              <w:divBdr>
                <w:top w:val="none" w:sz="0" w:space="0" w:color="auto"/>
                <w:left w:val="none" w:sz="0" w:space="0" w:color="auto"/>
                <w:bottom w:val="none" w:sz="0" w:space="0" w:color="auto"/>
                <w:right w:val="none" w:sz="0" w:space="0" w:color="auto"/>
              </w:divBdr>
              <w:divsChild>
                <w:div w:id="2071807737">
                  <w:marLeft w:val="0"/>
                  <w:marRight w:val="0"/>
                  <w:marTop w:val="0"/>
                  <w:marBottom w:val="0"/>
                  <w:divBdr>
                    <w:top w:val="none" w:sz="0" w:space="0" w:color="auto"/>
                    <w:left w:val="none" w:sz="0" w:space="0" w:color="auto"/>
                    <w:bottom w:val="none" w:sz="0" w:space="0" w:color="auto"/>
                    <w:right w:val="none" w:sz="0" w:space="0" w:color="auto"/>
                  </w:divBdr>
                  <w:divsChild>
                    <w:div w:id="1251161939">
                      <w:marLeft w:val="0"/>
                      <w:marRight w:val="0"/>
                      <w:marTop w:val="0"/>
                      <w:marBottom w:val="120"/>
                      <w:divBdr>
                        <w:top w:val="single" w:sz="6" w:space="0" w:color="F5F5F5"/>
                        <w:left w:val="single" w:sz="6" w:space="0" w:color="F5F5F5"/>
                        <w:bottom w:val="single" w:sz="6" w:space="0" w:color="F5F5F5"/>
                        <w:right w:val="single" w:sz="6" w:space="0" w:color="F5F5F5"/>
                      </w:divBdr>
                      <w:divsChild>
                        <w:div w:id="683240811">
                          <w:marLeft w:val="0"/>
                          <w:marRight w:val="0"/>
                          <w:marTop w:val="0"/>
                          <w:marBottom w:val="0"/>
                          <w:divBdr>
                            <w:top w:val="none" w:sz="0" w:space="0" w:color="auto"/>
                            <w:left w:val="none" w:sz="0" w:space="0" w:color="auto"/>
                            <w:bottom w:val="none" w:sz="0" w:space="0" w:color="auto"/>
                            <w:right w:val="none" w:sz="0" w:space="0" w:color="auto"/>
                          </w:divBdr>
                          <w:divsChild>
                            <w:div w:id="6818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969175">
      <w:bodyDiv w:val="1"/>
      <w:marLeft w:val="0"/>
      <w:marRight w:val="0"/>
      <w:marTop w:val="0"/>
      <w:marBottom w:val="0"/>
      <w:divBdr>
        <w:top w:val="none" w:sz="0" w:space="0" w:color="auto"/>
        <w:left w:val="none" w:sz="0" w:space="0" w:color="auto"/>
        <w:bottom w:val="none" w:sz="0" w:space="0" w:color="auto"/>
        <w:right w:val="none" w:sz="0" w:space="0" w:color="auto"/>
      </w:divBdr>
    </w:div>
    <w:div w:id="1632783717">
      <w:bodyDiv w:val="1"/>
      <w:marLeft w:val="0"/>
      <w:marRight w:val="0"/>
      <w:marTop w:val="0"/>
      <w:marBottom w:val="0"/>
      <w:divBdr>
        <w:top w:val="none" w:sz="0" w:space="0" w:color="auto"/>
        <w:left w:val="none" w:sz="0" w:space="0" w:color="auto"/>
        <w:bottom w:val="none" w:sz="0" w:space="0" w:color="auto"/>
        <w:right w:val="none" w:sz="0" w:space="0" w:color="auto"/>
      </w:divBdr>
    </w:div>
    <w:div w:id="1639529769">
      <w:bodyDiv w:val="1"/>
      <w:marLeft w:val="0"/>
      <w:marRight w:val="0"/>
      <w:marTop w:val="0"/>
      <w:marBottom w:val="0"/>
      <w:divBdr>
        <w:top w:val="none" w:sz="0" w:space="0" w:color="auto"/>
        <w:left w:val="none" w:sz="0" w:space="0" w:color="auto"/>
        <w:bottom w:val="none" w:sz="0" w:space="0" w:color="auto"/>
        <w:right w:val="none" w:sz="0" w:space="0" w:color="auto"/>
      </w:divBdr>
    </w:div>
    <w:div w:id="1880973006">
      <w:bodyDiv w:val="1"/>
      <w:marLeft w:val="0"/>
      <w:marRight w:val="0"/>
      <w:marTop w:val="0"/>
      <w:marBottom w:val="0"/>
      <w:divBdr>
        <w:top w:val="none" w:sz="0" w:space="0" w:color="auto"/>
        <w:left w:val="none" w:sz="0" w:space="0" w:color="auto"/>
        <w:bottom w:val="none" w:sz="0" w:space="0" w:color="auto"/>
        <w:right w:val="none" w:sz="0" w:space="0" w:color="auto"/>
      </w:divBdr>
    </w:div>
    <w:div w:id="1930312223">
      <w:bodyDiv w:val="1"/>
      <w:marLeft w:val="0"/>
      <w:marRight w:val="0"/>
      <w:marTop w:val="0"/>
      <w:marBottom w:val="0"/>
      <w:divBdr>
        <w:top w:val="none" w:sz="0" w:space="0" w:color="auto"/>
        <w:left w:val="none" w:sz="0" w:space="0" w:color="auto"/>
        <w:bottom w:val="none" w:sz="0" w:space="0" w:color="auto"/>
        <w:right w:val="none" w:sz="0" w:space="0" w:color="auto"/>
      </w:divBdr>
    </w:div>
    <w:div w:id="1941183417">
      <w:bodyDiv w:val="1"/>
      <w:marLeft w:val="0"/>
      <w:marRight w:val="0"/>
      <w:marTop w:val="0"/>
      <w:marBottom w:val="0"/>
      <w:divBdr>
        <w:top w:val="none" w:sz="0" w:space="0" w:color="auto"/>
        <w:left w:val="none" w:sz="0" w:space="0" w:color="auto"/>
        <w:bottom w:val="none" w:sz="0" w:space="0" w:color="auto"/>
        <w:right w:val="none" w:sz="0" w:space="0" w:color="auto"/>
      </w:divBdr>
    </w:div>
    <w:div w:id="1951931143">
      <w:bodyDiv w:val="1"/>
      <w:marLeft w:val="0"/>
      <w:marRight w:val="0"/>
      <w:marTop w:val="0"/>
      <w:marBottom w:val="0"/>
      <w:divBdr>
        <w:top w:val="none" w:sz="0" w:space="0" w:color="auto"/>
        <w:left w:val="none" w:sz="0" w:space="0" w:color="auto"/>
        <w:bottom w:val="none" w:sz="0" w:space="0" w:color="auto"/>
        <w:right w:val="none" w:sz="0" w:space="0" w:color="auto"/>
      </w:divBdr>
    </w:div>
    <w:div w:id="2005549636">
      <w:bodyDiv w:val="1"/>
      <w:marLeft w:val="0"/>
      <w:marRight w:val="0"/>
      <w:marTop w:val="0"/>
      <w:marBottom w:val="0"/>
      <w:divBdr>
        <w:top w:val="none" w:sz="0" w:space="0" w:color="auto"/>
        <w:left w:val="none" w:sz="0" w:space="0" w:color="auto"/>
        <w:bottom w:val="none" w:sz="0" w:space="0" w:color="auto"/>
        <w:right w:val="none" w:sz="0" w:space="0" w:color="auto"/>
      </w:divBdr>
    </w:div>
    <w:div w:id="2051763296">
      <w:bodyDiv w:val="1"/>
      <w:marLeft w:val="0"/>
      <w:marRight w:val="0"/>
      <w:marTop w:val="0"/>
      <w:marBottom w:val="0"/>
      <w:divBdr>
        <w:top w:val="none" w:sz="0" w:space="0" w:color="auto"/>
        <w:left w:val="none" w:sz="0" w:space="0" w:color="auto"/>
        <w:bottom w:val="none" w:sz="0" w:space="0" w:color="auto"/>
        <w:right w:val="none" w:sz="0" w:space="0" w:color="auto"/>
      </w:divBdr>
    </w:div>
    <w:div w:id="2069919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ww.tesouro.fazenda.gov.br" TargetMode="External"/><Relationship Id="rId7" Type="http://schemas.openxmlformats.org/officeDocument/2006/relationships/hyperlink" Target="http://www.funcex.org.br" TargetMode="External"/><Relationship Id="rId2" Type="http://schemas.openxmlformats.org/officeDocument/2006/relationships/hyperlink" Target="http://www.bcb.gov.br" TargetMode="External"/><Relationship Id="rId1" Type="http://schemas.openxmlformats.org/officeDocument/2006/relationships/hyperlink" Target="mailto:rubens.cysne@fgv.br" TargetMode="External"/><Relationship Id="rId6" Type="http://schemas.openxmlformats.org/officeDocument/2006/relationships/hyperlink" Target="http://www.ibge.gov.br" TargetMode="External"/><Relationship Id="rId5" Type="http://schemas.openxmlformats.org/officeDocument/2006/relationships/hyperlink" Target="https://www.standardandpoors.com" TargetMode="External"/><Relationship Id="rId4" Type="http://schemas.openxmlformats.org/officeDocument/2006/relationships/hyperlink" Target="http://www.ipeadata.gov.b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Sistema\Projetos%20RC\Rea&#231;&#227;o%20Fiscal\Reacao%20fisca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Plan1!$J$110:$J$187</c:f>
              <c:numCache>
                <c:formatCode>mmm\-yy</c:formatCode>
                <c:ptCount val="78"/>
                <c:pt idx="0">
                  <c:v>40909</c:v>
                </c:pt>
                <c:pt idx="1">
                  <c:v>40940</c:v>
                </c:pt>
                <c:pt idx="2">
                  <c:v>40969</c:v>
                </c:pt>
                <c:pt idx="3">
                  <c:v>41000</c:v>
                </c:pt>
                <c:pt idx="4">
                  <c:v>41030</c:v>
                </c:pt>
                <c:pt idx="5">
                  <c:v>41061</c:v>
                </c:pt>
                <c:pt idx="6">
                  <c:v>41091</c:v>
                </c:pt>
                <c:pt idx="7">
                  <c:v>41122</c:v>
                </c:pt>
                <c:pt idx="8">
                  <c:v>41153</c:v>
                </c:pt>
                <c:pt idx="9">
                  <c:v>41183</c:v>
                </c:pt>
                <c:pt idx="10">
                  <c:v>41214</c:v>
                </c:pt>
                <c:pt idx="11">
                  <c:v>41244</c:v>
                </c:pt>
                <c:pt idx="12">
                  <c:v>41275</c:v>
                </c:pt>
                <c:pt idx="13">
                  <c:v>41306</c:v>
                </c:pt>
                <c:pt idx="14">
                  <c:v>41334</c:v>
                </c:pt>
                <c:pt idx="15">
                  <c:v>41365</c:v>
                </c:pt>
                <c:pt idx="16">
                  <c:v>41395</c:v>
                </c:pt>
                <c:pt idx="17">
                  <c:v>41426</c:v>
                </c:pt>
                <c:pt idx="18">
                  <c:v>41456</c:v>
                </c:pt>
                <c:pt idx="19">
                  <c:v>41487</c:v>
                </c:pt>
                <c:pt idx="20">
                  <c:v>41518</c:v>
                </c:pt>
                <c:pt idx="21">
                  <c:v>41548</c:v>
                </c:pt>
                <c:pt idx="22">
                  <c:v>41579</c:v>
                </c:pt>
                <c:pt idx="23">
                  <c:v>41609</c:v>
                </c:pt>
                <c:pt idx="24">
                  <c:v>41640</c:v>
                </c:pt>
                <c:pt idx="25">
                  <c:v>41671</c:v>
                </c:pt>
                <c:pt idx="26">
                  <c:v>41699</c:v>
                </c:pt>
                <c:pt idx="27">
                  <c:v>41730</c:v>
                </c:pt>
                <c:pt idx="28">
                  <c:v>41760</c:v>
                </c:pt>
                <c:pt idx="29">
                  <c:v>41791</c:v>
                </c:pt>
                <c:pt idx="30">
                  <c:v>41821</c:v>
                </c:pt>
                <c:pt idx="31">
                  <c:v>41852</c:v>
                </c:pt>
                <c:pt idx="32">
                  <c:v>41883</c:v>
                </c:pt>
                <c:pt idx="33">
                  <c:v>41913</c:v>
                </c:pt>
                <c:pt idx="34">
                  <c:v>41944</c:v>
                </c:pt>
                <c:pt idx="35">
                  <c:v>41974</c:v>
                </c:pt>
                <c:pt idx="36">
                  <c:v>42005</c:v>
                </c:pt>
                <c:pt idx="37">
                  <c:v>42036</c:v>
                </c:pt>
                <c:pt idx="38">
                  <c:v>42064</c:v>
                </c:pt>
                <c:pt idx="39">
                  <c:v>42095</c:v>
                </c:pt>
                <c:pt idx="40">
                  <c:v>42125</c:v>
                </c:pt>
                <c:pt idx="41">
                  <c:v>42156</c:v>
                </c:pt>
                <c:pt idx="42">
                  <c:v>42186</c:v>
                </c:pt>
                <c:pt idx="43">
                  <c:v>42217</c:v>
                </c:pt>
                <c:pt idx="44">
                  <c:v>42248</c:v>
                </c:pt>
                <c:pt idx="45">
                  <c:v>42278</c:v>
                </c:pt>
                <c:pt idx="46">
                  <c:v>42309</c:v>
                </c:pt>
                <c:pt idx="47">
                  <c:v>42339</c:v>
                </c:pt>
                <c:pt idx="48">
                  <c:v>42370</c:v>
                </c:pt>
                <c:pt idx="49">
                  <c:v>42401</c:v>
                </c:pt>
                <c:pt idx="50">
                  <c:v>42430</c:v>
                </c:pt>
                <c:pt idx="51">
                  <c:v>42461</c:v>
                </c:pt>
                <c:pt idx="52">
                  <c:v>42491</c:v>
                </c:pt>
                <c:pt idx="53">
                  <c:v>42522</c:v>
                </c:pt>
                <c:pt idx="54">
                  <c:v>42552</c:v>
                </c:pt>
                <c:pt idx="55">
                  <c:v>42583</c:v>
                </c:pt>
                <c:pt idx="56">
                  <c:v>42614</c:v>
                </c:pt>
                <c:pt idx="57">
                  <c:v>42644</c:v>
                </c:pt>
                <c:pt idx="58">
                  <c:v>42675</c:v>
                </c:pt>
                <c:pt idx="59">
                  <c:v>42705</c:v>
                </c:pt>
                <c:pt idx="60">
                  <c:v>42736</c:v>
                </c:pt>
                <c:pt idx="61">
                  <c:v>42767</c:v>
                </c:pt>
                <c:pt idx="62">
                  <c:v>42795</c:v>
                </c:pt>
                <c:pt idx="63">
                  <c:v>42826</c:v>
                </c:pt>
                <c:pt idx="64">
                  <c:v>42856</c:v>
                </c:pt>
                <c:pt idx="65">
                  <c:v>42887</c:v>
                </c:pt>
                <c:pt idx="66">
                  <c:v>42917</c:v>
                </c:pt>
                <c:pt idx="67">
                  <c:v>42948</c:v>
                </c:pt>
                <c:pt idx="68">
                  <c:v>42979</c:v>
                </c:pt>
                <c:pt idx="69">
                  <c:v>43009</c:v>
                </c:pt>
                <c:pt idx="70">
                  <c:v>43040</c:v>
                </c:pt>
                <c:pt idx="71">
                  <c:v>43070</c:v>
                </c:pt>
                <c:pt idx="72">
                  <c:v>43101</c:v>
                </c:pt>
                <c:pt idx="73">
                  <c:v>43132</c:v>
                </c:pt>
                <c:pt idx="74">
                  <c:v>43160</c:v>
                </c:pt>
                <c:pt idx="75">
                  <c:v>43191</c:v>
                </c:pt>
                <c:pt idx="76">
                  <c:v>43221</c:v>
                </c:pt>
                <c:pt idx="77">
                  <c:v>43252</c:v>
                </c:pt>
              </c:numCache>
            </c:numRef>
          </c:cat>
          <c:val>
            <c:numRef>
              <c:f>Plan1!$K$110:$K$187</c:f>
              <c:numCache>
                <c:formatCode>General</c:formatCode>
                <c:ptCount val="78"/>
                <c:pt idx="0">
                  <c:v>5.698862849412209E-2</c:v>
                </c:pt>
                <c:pt idx="1">
                  <c:v>5.6643662126103292E-2</c:v>
                </c:pt>
                <c:pt idx="2">
                  <c:v>5.628886663176029E-2</c:v>
                </c:pt>
                <c:pt idx="3">
                  <c:v>5.5964757117350897E-2</c:v>
                </c:pt>
                <c:pt idx="4">
                  <c:v>5.568931535375897E-2</c:v>
                </c:pt>
                <c:pt idx="5">
                  <c:v>5.5431391671335289E-2</c:v>
                </c:pt>
                <c:pt idx="6">
                  <c:v>5.5143362033200395E-2</c:v>
                </c:pt>
                <c:pt idx="7">
                  <c:v>5.4775181341686331E-2</c:v>
                </c:pt>
                <c:pt idx="8">
                  <c:v>5.4393143841037474E-2</c:v>
                </c:pt>
                <c:pt idx="9">
                  <c:v>5.4048367901152417E-2</c:v>
                </c:pt>
                <c:pt idx="10">
                  <c:v>5.3726525876867423E-2</c:v>
                </c:pt>
                <c:pt idx="11">
                  <c:v>5.3406406740346628E-2</c:v>
                </c:pt>
                <c:pt idx="12">
                  <c:v>5.3113440198785014E-2</c:v>
                </c:pt>
                <c:pt idx="13">
                  <c:v>5.2816720834116135E-2</c:v>
                </c:pt>
                <c:pt idx="14">
                  <c:v>5.249607137399992E-2</c:v>
                </c:pt>
                <c:pt idx="15">
                  <c:v>5.2353679903614406E-2</c:v>
                </c:pt>
                <c:pt idx="16">
                  <c:v>5.219003760259653E-2</c:v>
                </c:pt>
                <c:pt idx="17">
                  <c:v>5.203968496166491E-2</c:v>
                </c:pt>
                <c:pt idx="18">
                  <c:v>5.1818637741311846E-2</c:v>
                </c:pt>
                <c:pt idx="19">
                  <c:v>5.1578215919239473E-2</c:v>
                </c:pt>
                <c:pt idx="20">
                  <c:v>5.1414058684598751E-2</c:v>
                </c:pt>
                <c:pt idx="21">
                  <c:v>5.1219904655107763E-2</c:v>
                </c:pt>
                <c:pt idx="22">
                  <c:v>5.1006749339750364E-2</c:v>
                </c:pt>
                <c:pt idx="23">
                  <c:v>5.0743323801892511E-2</c:v>
                </c:pt>
                <c:pt idx="24">
                  <c:v>5.0401492095663414E-2</c:v>
                </c:pt>
                <c:pt idx="25">
                  <c:v>5.0001632352282818E-2</c:v>
                </c:pt>
                <c:pt idx="26">
                  <c:v>4.9598408499244913E-2</c:v>
                </c:pt>
                <c:pt idx="27">
                  <c:v>4.909482302903221E-2</c:v>
                </c:pt>
                <c:pt idx="28">
                  <c:v>4.8531690180184828E-2</c:v>
                </c:pt>
                <c:pt idx="29">
                  <c:v>4.7827992666411426E-2</c:v>
                </c:pt>
                <c:pt idx="30">
                  <c:v>4.7143993787183723E-2</c:v>
                </c:pt>
                <c:pt idx="31">
                  <c:v>4.6493372934391618E-2</c:v>
                </c:pt>
                <c:pt idx="32">
                  <c:v>4.5804898316459085E-2</c:v>
                </c:pt>
                <c:pt idx="33">
                  <c:v>4.5139122218890076E-2</c:v>
                </c:pt>
                <c:pt idx="34">
                  <c:v>4.4431384608648539E-2</c:v>
                </c:pt>
                <c:pt idx="35">
                  <c:v>4.3781797033048887E-2</c:v>
                </c:pt>
                <c:pt idx="36">
                  <c:v>4.319852771394786E-2</c:v>
                </c:pt>
                <c:pt idx="37">
                  <c:v>4.2716201231115497E-2</c:v>
                </c:pt>
                <c:pt idx="38">
                  <c:v>4.2239465158067223E-2</c:v>
                </c:pt>
                <c:pt idx="39">
                  <c:v>4.1788330932672431E-2</c:v>
                </c:pt>
                <c:pt idx="40">
                  <c:v>4.1254575637029049E-2</c:v>
                </c:pt>
                <c:pt idx="41">
                  <c:v>4.0803998150270471E-2</c:v>
                </c:pt>
                <c:pt idx="42">
                  <c:v>4.027644976379436E-2</c:v>
                </c:pt>
                <c:pt idx="43">
                  <c:v>3.9820786633638368E-2</c:v>
                </c:pt>
                <c:pt idx="44">
                  <c:v>3.9495838442327957E-2</c:v>
                </c:pt>
                <c:pt idx="45">
                  <c:v>3.9058911586238018E-2</c:v>
                </c:pt>
                <c:pt idx="46">
                  <c:v>3.8740765102352401E-2</c:v>
                </c:pt>
                <c:pt idx="47">
                  <c:v>3.8437034214592922E-2</c:v>
                </c:pt>
                <c:pt idx="48">
                  <c:v>3.8151050119753227E-2</c:v>
                </c:pt>
                <c:pt idx="49">
                  <c:v>3.7787006990004042E-2</c:v>
                </c:pt>
                <c:pt idx="50">
                  <c:v>3.740405644533383E-2</c:v>
                </c:pt>
                <c:pt idx="51">
                  <c:v>3.6965189162374616E-2</c:v>
                </c:pt>
                <c:pt idx="52">
                  <c:v>3.649098684990721E-2</c:v>
                </c:pt>
                <c:pt idx="53">
                  <c:v>3.5970437239692302E-2</c:v>
                </c:pt>
                <c:pt idx="54">
                  <c:v>3.5000000000000038E-2</c:v>
                </c:pt>
                <c:pt idx="55">
                  <c:v>3.3900000000000013E-2</c:v>
                </c:pt>
                <c:pt idx="56">
                  <c:v>3.2600000000000046E-2</c:v>
                </c:pt>
                <c:pt idx="57">
                  <c:v>3.1000000000000045E-2</c:v>
                </c:pt>
                <c:pt idx="58">
                  <c:v>2.8899999999999999E-2</c:v>
                </c:pt>
                <c:pt idx="59">
                  <c:v>2.6800000000000036E-2</c:v>
                </c:pt>
                <c:pt idx="60">
                  <c:v>2.470000000000001E-2</c:v>
                </c:pt>
                <c:pt idx="61">
                  <c:v>2.250000000000002E-2</c:v>
                </c:pt>
                <c:pt idx="62">
                  <c:v>2.0000000000000021E-2</c:v>
                </c:pt>
                <c:pt idx="63">
                  <c:v>1.7000000000000022E-2</c:v>
                </c:pt>
                <c:pt idx="64">
                  <c:v>1.3500000000000021E-2</c:v>
                </c:pt>
                <c:pt idx="65">
                  <c:v>1.0500000000000015E-2</c:v>
                </c:pt>
                <c:pt idx="66">
                  <c:v>7.4000000000000116E-3</c:v>
                </c:pt>
                <c:pt idx="67">
                  <c:v>4.0000000000000053E-3</c:v>
                </c:pt>
                <c:pt idx="68">
                  <c:v>1.0000000000000015E-4</c:v>
                </c:pt>
                <c:pt idx="69">
                  <c:v>-8.0000000000000123E-3</c:v>
                </c:pt>
                <c:pt idx="70">
                  <c:v>-1.6210000000000016E-2</c:v>
                </c:pt>
                <c:pt idx="71">
                  <c:v>-2.0140000000000002E-2</c:v>
                </c:pt>
                <c:pt idx="72">
                  <c:v>-2.3519999999999989E-2</c:v>
                </c:pt>
                <c:pt idx="73">
                  <c:v>-2.5010000000000011E-2</c:v>
                </c:pt>
                <c:pt idx="74">
                  <c:v>-2.598000000000002E-2</c:v>
                </c:pt>
                <c:pt idx="75">
                  <c:v>-2.6470000000000046E-2</c:v>
                </c:pt>
                <c:pt idx="76">
                  <c:v>-2.6980000000000021E-2</c:v>
                </c:pt>
                <c:pt idx="77">
                  <c:v>-2.7490000000000035E-2</c:v>
                </c:pt>
              </c:numCache>
            </c:numRef>
          </c:val>
          <c:smooth val="0"/>
          <c:extLst xmlns:c16r2="http://schemas.microsoft.com/office/drawing/2015/06/chart">
            <c:ext xmlns:c16="http://schemas.microsoft.com/office/drawing/2014/chart" uri="{C3380CC4-5D6E-409C-BE32-E72D297353CC}">
              <c16:uniqueId val="{00000000-3B89-40B3-A52A-8D742E796C04}"/>
            </c:ext>
          </c:extLst>
        </c:ser>
        <c:dLbls>
          <c:showLegendKey val="0"/>
          <c:showVal val="0"/>
          <c:showCatName val="0"/>
          <c:showSerName val="0"/>
          <c:showPercent val="0"/>
          <c:showBubbleSize val="0"/>
        </c:dLbls>
        <c:smooth val="0"/>
        <c:axId val="-274364896"/>
        <c:axId val="-274370336"/>
      </c:lineChart>
      <c:dateAx>
        <c:axId val="-274364896"/>
        <c:scaling>
          <c:orientation val="minMax"/>
        </c:scaling>
        <c:delete val="0"/>
        <c:axPos val="b"/>
        <c:numFmt formatCode="mmm\-yy" sourceLinked="1"/>
        <c:majorTickMark val="out"/>
        <c:minorTickMark val="none"/>
        <c:tickLblPos val="nextTo"/>
        <c:crossAx val="-274370336"/>
        <c:crosses val="autoZero"/>
        <c:auto val="1"/>
        <c:lblOffset val="100"/>
        <c:baseTimeUnit val="months"/>
      </c:dateAx>
      <c:valAx>
        <c:axId val="-274370336"/>
        <c:scaling>
          <c:orientation val="minMax"/>
        </c:scaling>
        <c:delete val="0"/>
        <c:axPos val="l"/>
        <c:majorGridlines/>
        <c:numFmt formatCode="General" sourceLinked="1"/>
        <c:majorTickMark val="out"/>
        <c:minorTickMark val="none"/>
        <c:tickLblPos val="nextTo"/>
        <c:crossAx val="-2743648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Fun18</b:Tag>
    <b:SourceType>InternetSite</b:SourceType>
    <b:Guid>{DC88B70D-5AD8-4AD8-B1E8-856AAF0EDA3E}</b:Guid>
    <b:LCID>en-US</b:LCID>
    <b:Author>
      <b:Author>
        <b:Corporate>Funcex</b:Corporate>
      </b:Author>
    </b:Author>
    <b:InternetSiteTitle>FuncexData</b:InternetSiteTitle>
    <b:URL>http://www.funcexdata.com.br</b:URL>
    <b:YearAccessed>2018</b:YearAccessed>
    <b:RefOrder>[index]</b:RefOrder>
  </b:Source>
</b:Sources>
</file>

<file path=customXml/itemProps1.xml><?xml version="1.0" encoding="utf-8"?>
<ds:datastoreItem xmlns:ds="http://schemas.openxmlformats.org/officeDocument/2006/customXml" ds:itemID="{EBECDDEB-41E8-4A26-92ED-D000C38A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2668</Words>
  <Characters>14411</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IBGE</Company>
  <LinksUpToDate>false</LinksUpToDate>
  <CharactersWithSpaces>17045</CharactersWithSpaces>
  <SharedDoc>false</SharedDoc>
  <HLinks>
    <vt:vector size="54" baseType="variant">
      <vt:variant>
        <vt:i4>7405668</vt:i4>
      </vt:variant>
      <vt:variant>
        <vt:i4>24</vt:i4>
      </vt:variant>
      <vt:variant>
        <vt:i4>0</vt:i4>
      </vt:variant>
      <vt:variant>
        <vt:i4>5</vt:i4>
      </vt:variant>
      <vt:variant>
        <vt:lpwstr>http://personal.psu.edu/hxb11/ERIDOWNL.HTM</vt:lpwstr>
      </vt:variant>
      <vt:variant>
        <vt:lpwstr/>
      </vt:variant>
      <vt:variant>
        <vt:i4>4587643</vt:i4>
      </vt:variant>
      <vt:variant>
        <vt:i4>21</vt:i4>
      </vt:variant>
      <vt:variant>
        <vt:i4>0</vt:i4>
      </vt:variant>
      <vt:variant>
        <vt:i4>5</vt:i4>
      </vt:variant>
      <vt:variant>
        <vt:lpwstr>http://www.funcex.org.br/</vt:lpwstr>
      </vt:variant>
      <vt:variant>
        <vt:lpwstr/>
      </vt:variant>
      <vt:variant>
        <vt:i4>3670027</vt:i4>
      </vt:variant>
      <vt:variant>
        <vt:i4>18</vt:i4>
      </vt:variant>
      <vt:variant>
        <vt:i4>0</vt:i4>
      </vt:variant>
      <vt:variant>
        <vt:i4>5</vt:i4>
      </vt:variant>
      <vt:variant>
        <vt:lpwstr>http://www.ibge.gov.br/</vt:lpwstr>
      </vt:variant>
      <vt:variant>
        <vt:lpwstr/>
      </vt:variant>
      <vt:variant>
        <vt:i4>5963826</vt:i4>
      </vt:variant>
      <vt:variant>
        <vt:i4>15</vt:i4>
      </vt:variant>
      <vt:variant>
        <vt:i4>0</vt:i4>
      </vt:variant>
      <vt:variant>
        <vt:i4>5</vt:i4>
      </vt:variant>
      <vt:variant>
        <vt:lpwstr>https://www.standardandpoors.com/</vt:lpwstr>
      </vt:variant>
      <vt:variant>
        <vt:lpwstr/>
      </vt:variant>
      <vt:variant>
        <vt:i4>2752541</vt:i4>
      </vt:variant>
      <vt:variant>
        <vt:i4>12</vt:i4>
      </vt:variant>
      <vt:variant>
        <vt:i4>0</vt:i4>
      </vt:variant>
      <vt:variant>
        <vt:i4>5</vt:i4>
      </vt:variant>
      <vt:variant>
        <vt:lpwstr>http://www.ipeadata.gov.br/</vt:lpwstr>
      </vt:variant>
      <vt:variant>
        <vt:lpwstr/>
      </vt:variant>
      <vt:variant>
        <vt:i4>7929979</vt:i4>
      </vt:variant>
      <vt:variant>
        <vt:i4>9</vt:i4>
      </vt:variant>
      <vt:variant>
        <vt:i4>0</vt:i4>
      </vt:variant>
      <vt:variant>
        <vt:i4>5</vt:i4>
      </vt:variant>
      <vt:variant>
        <vt:lpwstr>http://www.tesouro.fazenda.gov.br/</vt:lpwstr>
      </vt:variant>
      <vt:variant>
        <vt:lpwstr/>
      </vt:variant>
      <vt:variant>
        <vt:i4>7798830</vt:i4>
      </vt:variant>
      <vt:variant>
        <vt:i4>6</vt:i4>
      </vt:variant>
      <vt:variant>
        <vt:i4>0</vt:i4>
      </vt:variant>
      <vt:variant>
        <vt:i4>5</vt:i4>
      </vt:variant>
      <vt:variant>
        <vt:lpwstr>http://www.bcb.gov.br/</vt:lpwstr>
      </vt:variant>
      <vt:variant>
        <vt:lpwstr/>
      </vt:variant>
      <vt:variant>
        <vt:i4>6160430</vt:i4>
      </vt:variant>
      <vt:variant>
        <vt:i4>3</vt:i4>
      </vt:variant>
      <vt:variant>
        <vt:i4>0</vt:i4>
      </vt:variant>
      <vt:variant>
        <vt:i4>5</vt:i4>
      </vt:variant>
      <vt:variant>
        <vt:lpwstr>mailto:rubens.cysne@fgv.br</vt:lpwstr>
      </vt:variant>
      <vt:variant>
        <vt:lpwstr/>
      </vt:variant>
      <vt:variant>
        <vt:i4>1507352</vt:i4>
      </vt:variant>
      <vt:variant>
        <vt:i4>0</vt:i4>
      </vt:variant>
      <vt:variant>
        <vt:i4>0</vt:i4>
      </vt:variant>
      <vt:variant>
        <vt:i4>5</vt:i4>
      </vt:variant>
      <vt:variant>
        <vt:lpwstr>mailto:eduardolimacampos@yahoo.com.br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Unknown</dc:creator>
  <cp:lastModifiedBy>Eduardo</cp:lastModifiedBy>
  <cp:revision>2</cp:revision>
  <cp:lastPrinted>2018-08-14T13:04:00Z</cp:lastPrinted>
  <dcterms:created xsi:type="dcterms:W3CDTF">2019-01-14T16:47:00Z</dcterms:created>
  <dcterms:modified xsi:type="dcterms:W3CDTF">2019-01-14T16:47:00Z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2017-03-02T00:00:00Z</vt:filetime>
  </property>
  <property fmtid="{D5CDD505-2E9C-101B-9397-08002B2CF9AE}" pid="3" name="Creator">
    <vt:lpwstr>TeX</vt:lpwstr>
  </property>
  <property fmtid="{D5CDD505-2E9C-101B-9397-08002B2CF9AE}" pid="4" name="LastSaved">
    <vt:filetime>2017-03-02T00:00:00Z</vt:filetime>
  </property>
</Properties>
</file>