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rFonts w:ascii="Garamond" w:cs="Garamond" w:hAnsi="Garamond" w:eastAsia="Garamond"/>
          <w:sz w:val="20"/>
          <w:szCs w:val="20"/>
        </w:rPr>
      </w:pPr>
      <w:r>
        <w:rPr>
          <w:rFonts w:ascii="Garamond" w:hAnsi="Garamond"/>
          <w:b w:val="1"/>
          <w:bCs w:val="1"/>
          <w:sz w:val="20"/>
          <w:szCs w:val="20"/>
          <w:rtl w:val="0"/>
          <w:lang w:val="en-US"/>
        </w:rPr>
        <w:t>Problem</w:t>
      </w:r>
      <w:r>
        <w:rPr>
          <w:rFonts w:ascii="Garamond" w:hAnsi="Garamond"/>
          <w:sz w:val="20"/>
          <w:szCs w:val="20"/>
          <w:rtl w:val="0"/>
          <w:lang w:val="en-US"/>
        </w:rPr>
        <w:t xml:space="preserve">: Africa was predicted to have growth potential ahead of East Asia and surpass 7 percent growth rate, however GDP per capita did not grow over the 1965-1990 period. Much of Africa has even suffered negative per capita growth, reflected in many human tragedies, such as below average life expectancy, maternal mortality and child mortality. </w:t>
      </w:r>
    </w:p>
    <w:p>
      <w:pPr>
        <w:pStyle w:val="Normal.0"/>
        <w:rPr>
          <w:rFonts w:ascii="Garamond" w:cs="Garamond" w:hAnsi="Garamond" w:eastAsia="Garamond"/>
          <w:sz w:val="20"/>
          <w:szCs w:val="20"/>
        </w:rPr>
      </w:pPr>
    </w:p>
    <w:p>
      <w:pPr>
        <w:pStyle w:val="Normal.0"/>
        <w:rPr>
          <w:rFonts w:ascii="Garamond" w:cs="Garamond" w:hAnsi="Garamond" w:eastAsia="Garamond"/>
          <w:sz w:val="20"/>
          <w:szCs w:val="20"/>
        </w:rPr>
      </w:pPr>
      <w:r>
        <w:rPr>
          <w:rFonts w:ascii="Garamond" w:hAnsi="Garamond"/>
          <w:b w:val="1"/>
          <w:bCs w:val="1"/>
          <w:sz w:val="20"/>
          <w:szCs w:val="20"/>
          <w:rtl w:val="0"/>
          <w:lang w:val="en-US"/>
        </w:rPr>
        <w:t>Hypothesis</w:t>
      </w:r>
      <w:r>
        <w:rPr>
          <w:rFonts w:ascii="Garamond" w:hAnsi="Garamond"/>
          <w:sz w:val="20"/>
          <w:szCs w:val="20"/>
          <w:rtl w:val="0"/>
          <w:lang w:val="en-US"/>
        </w:rPr>
        <w:t>: Higher levels of ethnic diversity encourage poor policies, poor education, political instability, inadequate infrastructure, and other factors associated with slow growth by increasing polarization, impeding agreement about the provision of public goods, and creating positive incentives for growth-reducing strategies (1206)</w:t>
      </w:r>
    </w:p>
    <w:p>
      <w:pPr>
        <w:pStyle w:val="Normal.0"/>
        <w:rPr>
          <w:rFonts w:ascii="Garamond" w:cs="Garamond" w:hAnsi="Garamond" w:eastAsia="Garamond"/>
          <w:sz w:val="20"/>
          <w:szCs w:val="20"/>
        </w:rPr>
      </w:pPr>
    </w:p>
    <w:p>
      <w:pPr>
        <w:pStyle w:val="Normal.0"/>
        <w:rPr>
          <w:rFonts w:ascii="Garamond" w:cs="Garamond" w:hAnsi="Garamond" w:eastAsia="Garamond"/>
          <w:sz w:val="20"/>
          <w:szCs w:val="20"/>
        </w:rPr>
      </w:pPr>
      <w:r>
        <w:rPr>
          <w:rFonts w:ascii="Garamond" w:hAnsi="Garamond"/>
          <w:b w:val="1"/>
          <w:bCs w:val="1"/>
          <w:sz w:val="20"/>
          <w:szCs w:val="20"/>
          <w:rtl w:val="0"/>
          <w:lang w:val="en-US"/>
        </w:rPr>
        <w:t>Dependent Variables</w:t>
      </w:r>
      <w:r>
        <w:rPr>
          <w:rFonts w:ascii="Garamond" w:hAnsi="Garamond"/>
          <w:sz w:val="20"/>
          <w:szCs w:val="20"/>
          <w:rtl w:val="0"/>
          <w:lang w:val="en-US"/>
        </w:rPr>
        <w:t>: (1) Annual growth rate of GDP per capita in the 1960s, 1970s, and 1980s, pooled average and (2) level of income per worker, pooled decade average</w:t>
      </w:r>
    </w:p>
    <w:p>
      <w:pPr>
        <w:pStyle w:val="Normal.0"/>
        <w:rPr>
          <w:rFonts w:ascii="Garamond" w:cs="Garamond" w:hAnsi="Garamond" w:eastAsia="Garamond"/>
          <w:sz w:val="20"/>
          <w:szCs w:val="20"/>
        </w:rPr>
      </w:pPr>
      <w:r>
        <w:rPr>
          <w:rFonts w:ascii="Garamond" w:hAnsi="Garamond"/>
          <w:sz w:val="20"/>
          <w:szCs w:val="20"/>
          <w:rtl w:val="0"/>
          <w:lang w:val="en-US"/>
        </w:rPr>
        <w:t xml:space="preserve">Independent Variables: </w:t>
      </w:r>
    </w:p>
    <w:p>
      <w:pPr>
        <w:pStyle w:val="Normal.0"/>
        <w:numPr>
          <w:ilvl w:val="0"/>
          <w:numId w:val="2"/>
        </w:numPr>
        <w:bidi w:val="0"/>
        <w:ind w:right="0"/>
        <w:jc w:val="left"/>
        <w:rPr>
          <w:rFonts w:ascii="Garamond" w:hAnsi="Garamond"/>
          <w:sz w:val="20"/>
          <w:szCs w:val="20"/>
          <w:rtl w:val="0"/>
          <w:lang w:val="en-US"/>
        </w:rPr>
      </w:pPr>
      <w:r>
        <w:rPr>
          <w:rStyle w:val="Page Number"/>
          <w:rFonts w:ascii="Garamond" w:hAnsi="Garamond"/>
          <w:sz w:val="20"/>
          <w:szCs w:val="20"/>
          <w:rtl w:val="0"/>
          <w:lang w:val="en-US"/>
        </w:rPr>
        <w:t xml:space="preserve">Ethnic Diversity (ETHNIC) </w:t>
      </w:r>
      <w:r>
        <w:rPr>
          <w:rStyle w:val="Page Number"/>
          <w:rFonts w:ascii="Garamond" w:hAnsi="Garamond" w:hint="default"/>
          <w:sz w:val="20"/>
          <w:szCs w:val="20"/>
          <w:rtl w:val="0"/>
          <w:lang w:val="en-US"/>
        </w:rPr>
        <w:t xml:space="preserve">– </w:t>
      </w:r>
      <w:r>
        <w:rPr>
          <w:rStyle w:val="Page Number"/>
          <w:rFonts w:ascii="Garamond" w:hAnsi="Garamond"/>
          <w:sz w:val="20"/>
          <w:szCs w:val="20"/>
          <w:rtl w:val="0"/>
          <w:lang w:val="en-US"/>
        </w:rPr>
        <w:t>probability that two randomly selected individuals belong to different ethnolinguistic groups (Miklukho-Maklai Ethnological Institute 1964)</w:t>
      </w:r>
    </w:p>
    <w:p>
      <w:pPr>
        <w:pStyle w:val="Normal.0"/>
        <w:numPr>
          <w:ilvl w:val="0"/>
          <w:numId w:val="2"/>
        </w:numPr>
        <w:bidi w:val="0"/>
        <w:ind w:right="0"/>
        <w:jc w:val="left"/>
        <w:rPr>
          <w:rFonts w:ascii="Garamond" w:hAnsi="Garamond"/>
          <w:sz w:val="20"/>
          <w:szCs w:val="20"/>
          <w:rtl w:val="0"/>
          <w:lang w:val="en-US"/>
        </w:rPr>
      </w:pPr>
      <w:r>
        <w:rPr>
          <w:rStyle w:val="Page Number"/>
          <w:rFonts w:ascii="Garamond" w:hAnsi="Garamond"/>
          <w:sz w:val="20"/>
          <w:szCs w:val="20"/>
          <w:rtl w:val="0"/>
          <w:lang w:val="en-US"/>
        </w:rPr>
        <w:t>Dummies for Sub-Saharan Africa; Latin America and Caribbean</w:t>
      </w:r>
    </w:p>
    <w:p>
      <w:pPr>
        <w:pStyle w:val="Normal.0"/>
        <w:numPr>
          <w:ilvl w:val="0"/>
          <w:numId w:val="2"/>
        </w:numPr>
        <w:bidi w:val="0"/>
        <w:ind w:right="0"/>
        <w:jc w:val="left"/>
        <w:rPr>
          <w:rFonts w:ascii="Garamond" w:hAnsi="Garamond"/>
          <w:sz w:val="20"/>
          <w:szCs w:val="20"/>
          <w:rtl w:val="0"/>
          <w:lang w:val="en-US"/>
        </w:rPr>
      </w:pPr>
      <w:r>
        <w:rPr>
          <w:rStyle w:val="Page Number"/>
          <w:rFonts w:ascii="Garamond" w:hAnsi="Garamond"/>
          <w:sz w:val="20"/>
          <w:szCs w:val="20"/>
          <w:rtl w:val="0"/>
          <w:lang w:val="en-US"/>
        </w:rPr>
        <w:t>Controls for initial income at the start of the decade (log GDP per cap, square of log of initial income)</w:t>
      </w:r>
    </w:p>
    <w:p>
      <w:pPr>
        <w:pStyle w:val="Normal.0"/>
        <w:numPr>
          <w:ilvl w:val="0"/>
          <w:numId w:val="2"/>
        </w:numPr>
        <w:bidi w:val="0"/>
        <w:ind w:right="0"/>
        <w:jc w:val="left"/>
        <w:rPr>
          <w:rFonts w:ascii="Garamond" w:hAnsi="Garamond"/>
          <w:sz w:val="20"/>
          <w:szCs w:val="20"/>
          <w:rtl w:val="0"/>
          <w:lang w:val="en-US"/>
        </w:rPr>
      </w:pPr>
      <w:r>
        <w:rPr>
          <w:rStyle w:val="Page Number"/>
          <w:rFonts w:ascii="Garamond" w:hAnsi="Garamond"/>
          <w:sz w:val="20"/>
          <w:szCs w:val="20"/>
          <w:rtl w:val="0"/>
          <w:lang w:val="en-US"/>
        </w:rPr>
        <w:t xml:space="preserve">Log of average educational attainment </w:t>
      </w:r>
    </w:p>
    <w:p>
      <w:pPr>
        <w:pStyle w:val="Normal.0"/>
        <w:numPr>
          <w:ilvl w:val="0"/>
          <w:numId w:val="2"/>
        </w:numPr>
        <w:bidi w:val="0"/>
        <w:ind w:right="0"/>
        <w:jc w:val="left"/>
        <w:rPr>
          <w:rFonts w:ascii="Garamond" w:hAnsi="Garamond"/>
          <w:sz w:val="20"/>
          <w:szCs w:val="20"/>
          <w:rtl w:val="0"/>
          <w:lang w:val="en-US"/>
        </w:rPr>
      </w:pPr>
      <w:r>
        <w:rPr>
          <w:rStyle w:val="Page Number"/>
          <w:rFonts w:ascii="Garamond" w:hAnsi="Garamond"/>
          <w:sz w:val="20"/>
          <w:szCs w:val="20"/>
          <w:rtl w:val="0"/>
          <w:lang w:val="en-US"/>
        </w:rPr>
        <w:t>Black Market exchange rate premium averaged over each decade</w:t>
      </w:r>
    </w:p>
    <w:p>
      <w:pPr>
        <w:pStyle w:val="Normal.0"/>
        <w:numPr>
          <w:ilvl w:val="0"/>
          <w:numId w:val="2"/>
        </w:numPr>
        <w:bidi w:val="0"/>
        <w:ind w:right="0"/>
        <w:jc w:val="left"/>
        <w:rPr>
          <w:rFonts w:ascii="Garamond" w:hAnsi="Garamond"/>
          <w:sz w:val="20"/>
          <w:szCs w:val="20"/>
          <w:rtl w:val="0"/>
          <w:lang w:val="en-US"/>
        </w:rPr>
      </w:pPr>
      <w:r>
        <w:rPr>
          <w:rStyle w:val="Page Number"/>
          <w:rFonts w:ascii="Garamond" w:hAnsi="Garamond"/>
          <w:sz w:val="20"/>
          <w:szCs w:val="20"/>
          <w:rtl w:val="0"/>
          <w:lang w:val="en-US"/>
        </w:rPr>
        <w:t xml:space="preserve">Fiscal stance of the country (government surplus to GDP ratio </w:t>
      </w:r>
      <w:r>
        <w:rPr>
          <w:rStyle w:val="Page Number"/>
          <w:rFonts w:ascii="Garamond" w:hAnsi="Garamond" w:hint="default"/>
          <w:sz w:val="20"/>
          <w:szCs w:val="20"/>
          <w:rtl w:val="0"/>
          <w:lang w:val="en-US"/>
        </w:rPr>
        <w:t xml:space="preserve">– </w:t>
      </w:r>
      <w:r>
        <w:rPr>
          <w:rStyle w:val="Page Number"/>
          <w:rFonts w:ascii="Garamond" w:hAnsi="Garamond"/>
          <w:sz w:val="20"/>
          <w:szCs w:val="20"/>
          <w:rtl w:val="0"/>
          <w:lang w:val="en-US"/>
        </w:rPr>
        <w:t>averaged over decade)</w:t>
      </w:r>
    </w:p>
    <w:p>
      <w:pPr>
        <w:pStyle w:val="Normal.0"/>
        <w:numPr>
          <w:ilvl w:val="0"/>
          <w:numId w:val="2"/>
        </w:numPr>
        <w:bidi w:val="0"/>
        <w:ind w:right="0"/>
        <w:jc w:val="left"/>
        <w:rPr>
          <w:rFonts w:ascii="Garamond" w:hAnsi="Garamond"/>
          <w:sz w:val="20"/>
          <w:szCs w:val="20"/>
          <w:rtl w:val="0"/>
          <w:lang w:val="en-US"/>
        </w:rPr>
      </w:pPr>
      <w:r>
        <w:rPr>
          <w:rStyle w:val="Page Number"/>
          <w:rFonts w:ascii="Garamond" w:hAnsi="Garamond"/>
          <w:sz w:val="20"/>
          <w:szCs w:val="20"/>
          <w:rtl w:val="0"/>
          <w:lang w:val="en-US"/>
        </w:rPr>
        <w:t>Financial Depth (liquid liabilities of the financial system divided by GDP averaged over each decade)</w:t>
      </w:r>
    </w:p>
    <w:p>
      <w:pPr>
        <w:pStyle w:val="Normal.0"/>
        <w:numPr>
          <w:ilvl w:val="0"/>
          <w:numId w:val="2"/>
        </w:numPr>
        <w:bidi w:val="0"/>
        <w:ind w:right="0"/>
        <w:jc w:val="left"/>
        <w:rPr>
          <w:rFonts w:ascii="Garamond" w:hAnsi="Garamond"/>
          <w:sz w:val="20"/>
          <w:szCs w:val="20"/>
          <w:rtl w:val="0"/>
          <w:lang w:val="en-US"/>
        </w:rPr>
      </w:pPr>
      <w:r>
        <w:rPr>
          <w:rStyle w:val="Page Number"/>
          <w:rFonts w:ascii="Garamond" w:hAnsi="Garamond"/>
          <w:sz w:val="20"/>
          <w:szCs w:val="20"/>
          <w:rtl w:val="0"/>
          <w:lang w:val="en-US"/>
        </w:rPr>
        <w:t>Other Controls: measure of civil liberties, number of revolutions and coups, number of casualties from war</w:t>
      </w:r>
    </w:p>
    <w:p>
      <w:pPr>
        <w:pStyle w:val="Normal.0"/>
        <w:rPr>
          <w:rFonts w:ascii="Garamond" w:cs="Garamond" w:hAnsi="Garamond" w:eastAsia="Garamond"/>
          <w:sz w:val="20"/>
          <w:szCs w:val="20"/>
        </w:rPr>
      </w:pPr>
    </w:p>
    <w:p>
      <w:pPr>
        <w:pStyle w:val="Normal.0"/>
        <w:rPr>
          <w:rFonts w:ascii="Garamond" w:cs="Garamond" w:hAnsi="Garamond" w:eastAsia="Garamond"/>
          <w:sz w:val="20"/>
          <w:szCs w:val="20"/>
        </w:rPr>
      </w:pPr>
      <w:r>
        <w:rPr>
          <w:rFonts w:ascii="Garamond" w:hAnsi="Garamond"/>
          <w:b w:val="1"/>
          <w:bCs w:val="1"/>
          <w:sz w:val="20"/>
          <w:szCs w:val="20"/>
          <w:rtl w:val="0"/>
          <w:lang w:val="en-US"/>
        </w:rPr>
        <w:t>Data/Method</w:t>
      </w:r>
      <w:r>
        <w:rPr>
          <w:rFonts w:ascii="Garamond" w:hAnsi="Garamond"/>
          <w:sz w:val="20"/>
          <w:szCs w:val="20"/>
          <w:rtl w:val="0"/>
          <w:lang w:val="en-US"/>
        </w:rPr>
        <w:t>:</w:t>
      </w:r>
    </w:p>
    <w:p>
      <w:pPr>
        <w:pStyle w:val="Normal.0"/>
        <w:numPr>
          <w:ilvl w:val="0"/>
          <w:numId w:val="4"/>
        </w:numPr>
        <w:bidi w:val="0"/>
        <w:ind w:right="0"/>
        <w:jc w:val="left"/>
        <w:rPr>
          <w:rFonts w:ascii="Garamond" w:hAnsi="Garamond"/>
          <w:sz w:val="20"/>
          <w:szCs w:val="20"/>
          <w:rtl w:val="0"/>
          <w:lang w:val="en-US"/>
        </w:rPr>
      </w:pPr>
      <w:r>
        <w:rPr>
          <w:rStyle w:val="Page Number"/>
          <w:rFonts w:ascii="Garamond" w:hAnsi="Garamond"/>
          <w:sz w:val="20"/>
          <w:szCs w:val="20"/>
          <w:rtl w:val="0"/>
          <w:lang w:val="en-US"/>
        </w:rPr>
        <w:t>Ordinary Least Squares regression where each decade forms one-third of the system</w:t>
      </w:r>
    </w:p>
    <w:p>
      <w:pPr>
        <w:pStyle w:val="Normal.0"/>
        <w:numPr>
          <w:ilvl w:val="0"/>
          <w:numId w:val="4"/>
        </w:numPr>
        <w:bidi w:val="0"/>
        <w:ind w:right="0"/>
        <w:jc w:val="left"/>
        <w:rPr>
          <w:rFonts w:ascii="Garamond" w:hAnsi="Garamond"/>
          <w:sz w:val="20"/>
          <w:szCs w:val="20"/>
          <w:rtl w:val="0"/>
          <w:lang w:val="en-US"/>
        </w:rPr>
      </w:pPr>
      <w:r>
        <w:rPr>
          <w:rStyle w:val="Page Number"/>
          <w:rFonts w:ascii="Garamond" w:hAnsi="Garamond"/>
          <w:sz w:val="20"/>
          <w:szCs w:val="20"/>
          <w:rtl w:val="0"/>
          <w:lang w:val="en-US"/>
        </w:rPr>
        <w:t xml:space="preserve">Cross-section of Sub-Saharan, East Asian, Latin American and Caribbean countries from 1960 </w:t>
      </w:r>
      <w:r>
        <w:rPr>
          <w:rStyle w:val="Page Number"/>
          <w:rFonts w:ascii="Garamond" w:hAnsi="Garamond" w:hint="default"/>
          <w:sz w:val="20"/>
          <w:szCs w:val="20"/>
          <w:rtl w:val="0"/>
          <w:lang w:val="en-US"/>
        </w:rPr>
        <w:t xml:space="preserve">– </w:t>
      </w:r>
      <w:r>
        <w:rPr>
          <w:rStyle w:val="Page Number"/>
          <w:rFonts w:ascii="Garamond" w:hAnsi="Garamond"/>
          <w:sz w:val="20"/>
          <w:szCs w:val="20"/>
          <w:rtl w:val="0"/>
          <w:lang w:val="en-US"/>
        </w:rPr>
        <w:t xml:space="preserve">1989 </w:t>
      </w:r>
    </w:p>
    <w:p>
      <w:pPr>
        <w:pStyle w:val="Normal.0"/>
        <w:rPr>
          <w:rFonts w:ascii="Garamond" w:cs="Garamond" w:hAnsi="Garamond" w:eastAsia="Garamond"/>
          <w:sz w:val="20"/>
          <w:szCs w:val="20"/>
        </w:rPr>
      </w:pPr>
    </w:p>
    <w:p>
      <w:pPr>
        <w:pStyle w:val="Normal.0"/>
        <w:rPr>
          <w:rFonts w:ascii="Garamond" w:cs="Garamond" w:hAnsi="Garamond" w:eastAsia="Garamond"/>
          <w:sz w:val="20"/>
          <w:szCs w:val="20"/>
        </w:rPr>
      </w:pPr>
      <w:r>
        <w:rPr>
          <w:rFonts w:ascii="Garamond" w:hAnsi="Garamond"/>
          <w:b w:val="1"/>
          <w:bCs w:val="1"/>
          <w:sz w:val="20"/>
          <w:szCs w:val="20"/>
          <w:rtl w:val="0"/>
          <w:lang w:val="en-US"/>
        </w:rPr>
        <w:t>Findings</w:t>
      </w:r>
      <w:r>
        <w:rPr>
          <w:rFonts w:ascii="Garamond" w:hAnsi="Garamond"/>
          <w:sz w:val="20"/>
          <w:szCs w:val="20"/>
          <w:rtl w:val="0"/>
          <w:lang w:val="en-US"/>
        </w:rPr>
        <w:t>:</w:t>
      </w:r>
    </w:p>
    <w:p>
      <w:pPr>
        <w:pStyle w:val="Normal.0"/>
        <w:numPr>
          <w:ilvl w:val="0"/>
          <w:numId w:val="6"/>
        </w:numPr>
        <w:bidi w:val="0"/>
        <w:ind w:right="0"/>
        <w:jc w:val="left"/>
        <w:rPr>
          <w:rFonts w:ascii="Garamond" w:hAnsi="Garamond"/>
          <w:sz w:val="20"/>
          <w:szCs w:val="20"/>
          <w:rtl w:val="0"/>
          <w:lang w:val="en-US"/>
        </w:rPr>
      </w:pPr>
      <w:r>
        <w:rPr>
          <w:rStyle w:val="Page Number"/>
          <w:rFonts w:ascii="Garamond" w:hAnsi="Garamond"/>
          <w:sz w:val="20"/>
          <w:szCs w:val="20"/>
          <w:rtl w:val="0"/>
          <w:lang w:val="en-US"/>
        </w:rPr>
        <w:t>Low school attainment, constitutional changes, corruption, poorly developed financial systems, large black market exchange rate premiums, large government deficits, and inadequate infrastructure are significantly positively correlated with economic growth at the 0.05 significance level (1209/1241).</w:t>
      </w:r>
    </w:p>
    <w:p>
      <w:pPr>
        <w:pStyle w:val="Normal.0"/>
        <w:numPr>
          <w:ilvl w:val="0"/>
          <w:numId w:val="6"/>
        </w:numPr>
        <w:bidi w:val="0"/>
        <w:ind w:right="0"/>
        <w:jc w:val="left"/>
        <w:rPr>
          <w:rFonts w:ascii="Garamond" w:hAnsi="Garamond"/>
          <w:sz w:val="20"/>
          <w:szCs w:val="20"/>
          <w:rtl w:val="0"/>
          <w:lang w:val="en-US"/>
        </w:rPr>
      </w:pPr>
      <w:r>
        <w:rPr>
          <w:rStyle w:val="Page Number"/>
          <w:rFonts w:ascii="Garamond" w:hAnsi="Garamond"/>
          <w:sz w:val="20"/>
          <w:szCs w:val="20"/>
          <w:rtl w:val="0"/>
          <w:lang w:val="en-US"/>
        </w:rPr>
        <w:t>Ethnic diversity:</w:t>
      </w:r>
    </w:p>
    <w:p>
      <w:pPr>
        <w:pStyle w:val="Normal.0"/>
        <w:numPr>
          <w:ilvl w:val="1"/>
          <w:numId w:val="6"/>
        </w:numPr>
        <w:bidi w:val="0"/>
        <w:ind w:right="0"/>
        <w:jc w:val="left"/>
        <w:rPr>
          <w:rFonts w:ascii="Garamond" w:hAnsi="Garamond"/>
          <w:sz w:val="20"/>
          <w:szCs w:val="20"/>
          <w:rtl w:val="0"/>
          <w:lang w:val="en-US"/>
        </w:rPr>
      </w:pPr>
      <w:r>
        <w:rPr>
          <w:rStyle w:val="Page Number"/>
          <w:rFonts w:ascii="Garamond" w:hAnsi="Garamond"/>
          <w:sz w:val="20"/>
          <w:szCs w:val="20"/>
          <w:rtl w:val="0"/>
          <w:lang w:val="en-US"/>
        </w:rPr>
        <w:t xml:space="preserve">(a) Encourages the adoption of growth-retarding policies that foster rent-seeking behavior and </w:t>
      </w:r>
    </w:p>
    <w:p>
      <w:pPr>
        <w:pStyle w:val="Normal.0"/>
        <w:numPr>
          <w:ilvl w:val="1"/>
          <w:numId w:val="6"/>
        </w:numPr>
        <w:bidi w:val="0"/>
        <w:ind w:right="0"/>
        <w:jc w:val="left"/>
        <w:rPr>
          <w:rFonts w:ascii="Garamond" w:hAnsi="Garamond"/>
          <w:sz w:val="20"/>
          <w:szCs w:val="20"/>
          <w:rtl w:val="0"/>
          <w:lang w:val="en-US"/>
        </w:rPr>
      </w:pPr>
      <w:r>
        <w:rPr>
          <w:rStyle w:val="Page Number"/>
          <w:rFonts w:ascii="Garamond" w:hAnsi="Garamond"/>
          <w:sz w:val="20"/>
          <w:szCs w:val="20"/>
          <w:rtl w:val="0"/>
          <w:lang w:val="en-US"/>
        </w:rPr>
        <w:t xml:space="preserve">(b) Makes it more difficult to form a consensus for growth-promoting public goods. </w:t>
      </w:r>
    </w:p>
    <w:p>
      <w:pPr>
        <w:pStyle w:val="Normal (Web)"/>
        <w:numPr>
          <w:ilvl w:val="0"/>
          <w:numId w:val="6"/>
        </w:numPr>
        <w:bidi w:val="0"/>
        <w:spacing w:before="2" w:after="2"/>
        <w:ind w:right="0"/>
        <w:jc w:val="left"/>
        <w:rPr>
          <w:rFonts w:ascii="Garamond" w:hAnsi="Garamond"/>
          <w:rtl w:val="0"/>
          <w:lang w:val="en-US"/>
        </w:rPr>
      </w:pPr>
      <w:r>
        <w:rPr>
          <w:rStyle w:val="Page Number"/>
          <w:rFonts w:ascii="Garamond" w:hAnsi="Garamond"/>
          <w:rtl w:val="0"/>
          <w:lang w:val="en-US"/>
        </w:rPr>
        <w:t xml:space="preserve">Furthermore, accounting for the effects of ethnic diversity on education, political stability, financial depth, black market premiums, fiscal policy, and infrastructure development, ethnic diversity alone accounts for about 28 percent of the growth differential between the countries of Africa and East Asia. </w:t>
      </w:r>
    </w:p>
    <w:p>
      <w:pPr>
        <w:pStyle w:val="Normal (Web)"/>
        <w:spacing w:before="2" w:after="2"/>
        <w:rPr>
          <w:rFonts w:ascii="Garamond" w:cs="Garamond" w:hAnsi="Garamond" w:eastAsia="Garamond"/>
        </w:rPr>
      </w:pPr>
    </w:p>
    <w:p>
      <w:pPr>
        <w:pStyle w:val="Normal (Web)"/>
        <w:spacing w:before="2" w:after="2"/>
        <w:rPr>
          <w:rFonts w:ascii="Garamond" w:cs="Garamond" w:hAnsi="Garamond" w:eastAsia="Garamond"/>
        </w:rPr>
      </w:pPr>
      <w:r>
        <w:rPr>
          <w:rFonts w:ascii="Garamond" w:hAnsi="Garamond"/>
          <w:b w:val="1"/>
          <w:bCs w:val="1"/>
          <w:rtl w:val="0"/>
          <w:lang w:val="en-US"/>
        </w:rPr>
        <w:t>Placement in the field</w:t>
      </w:r>
      <w:r>
        <w:rPr>
          <w:rFonts w:ascii="Garamond" w:hAnsi="Garamond"/>
          <w:rtl w:val="0"/>
          <w:lang w:val="en-US"/>
        </w:rPr>
        <w:t>:</w:t>
      </w:r>
    </w:p>
    <w:p>
      <w:pPr>
        <w:pStyle w:val="Normal (Web)"/>
        <w:numPr>
          <w:ilvl w:val="0"/>
          <w:numId w:val="8"/>
        </w:numPr>
        <w:bidi w:val="0"/>
        <w:spacing w:before="2" w:after="2"/>
        <w:ind w:right="0"/>
        <w:jc w:val="left"/>
        <w:rPr>
          <w:rFonts w:ascii="Garamond" w:hAnsi="Garamond"/>
          <w:rtl w:val="0"/>
          <w:lang w:val="en-US"/>
        </w:rPr>
      </w:pPr>
      <w:r>
        <w:rPr>
          <w:rStyle w:val="Page Number"/>
          <w:rFonts w:ascii="Garamond" w:hAnsi="Garamond"/>
          <w:rtl w:val="0"/>
          <w:lang w:val="en-US"/>
        </w:rPr>
        <w:t xml:space="preserve">In contrast to Olsen, Easterly and Levine posit that mostly structural and historical factors, such as ethnic diversity, contribute to growth rates, rather than individualistic contributions such as participation in special interest organizations. </w:t>
      </w:r>
    </w:p>
    <w:p>
      <w:pPr>
        <w:pStyle w:val="Normal (Web)"/>
        <w:numPr>
          <w:ilvl w:val="0"/>
          <w:numId w:val="8"/>
        </w:numPr>
        <w:bidi w:val="0"/>
        <w:spacing w:before="2" w:after="2"/>
        <w:ind w:right="0"/>
        <w:jc w:val="left"/>
        <w:rPr>
          <w:rFonts w:ascii="Garamond" w:hAnsi="Garamond"/>
          <w:rtl w:val="0"/>
          <w:lang w:val="en-US"/>
        </w:rPr>
      </w:pPr>
      <w:r>
        <w:rPr>
          <w:rStyle w:val="Page Number"/>
          <w:rFonts w:ascii="Garamond" w:hAnsi="Garamond"/>
          <w:rtl w:val="0"/>
          <w:lang w:val="en-US"/>
        </w:rPr>
        <w:t>Easterly and Levine complement Bates (1981) by adding a causal mechanism for why Africa</w:t>
      </w:r>
      <w:r>
        <w:rPr>
          <w:rStyle w:val="Page Number"/>
          <w:rFonts w:ascii="Garamond" w:hAnsi="Garamond" w:hint="default"/>
          <w:rtl w:val="0"/>
          <w:lang w:val="en-US"/>
        </w:rPr>
        <w:t>’</w:t>
      </w:r>
      <w:r>
        <w:rPr>
          <w:rStyle w:val="Page Number"/>
          <w:rFonts w:ascii="Garamond" w:hAnsi="Garamond"/>
          <w:rtl w:val="0"/>
          <w:lang w:val="en-US"/>
        </w:rPr>
        <w:t xml:space="preserve">s leaders tend to choose politically expedient actions rather than long-term stability and growth. </w:t>
      </w:r>
    </w:p>
    <w:p>
      <w:pPr>
        <w:pStyle w:val="Normal (Web)"/>
        <w:numPr>
          <w:ilvl w:val="0"/>
          <w:numId w:val="8"/>
        </w:numPr>
        <w:bidi w:val="0"/>
        <w:spacing w:before="2" w:after="2"/>
        <w:ind w:right="0"/>
        <w:jc w:val="left"/>
        <w:rPr>
          <w:rFonts w:ascii="Garamond" w:hAnsi="Garamond"/>
          <w:rtl w:val="0"/>
          <w:lang w:val="en-US"/>
        </w:rPr>
      </w:pPr>
      <w:r>
        <w:rPr>
          <w:rStyle w:val="Page Number"/>
          <w:rFonts w:ascii="Garamond" w:hAnsi="Garamond"/>
          <w:rtl w:val="0"/>
          <w:lang w:val="en-US"/>
        </w:rPr>
        <w:t xml:space="preserve">Similarly to Olsen (1982), Easterly and Levine find that a movement from complete heterogeneity to complete homogeneity is associated with a productivity increase of 2.5 times and an increase in capital per worker of 9.2 times. In essence, homogeneity of groups increases productivity (1241). </w:t>
      </w:r>
    </w:p>
    <w:sectPr>
      <w:headerReference w:type="default" r:id="rId4"/>
      <w:footerReference w:type="default" r:id="rId5"/>
      <w:pgSz w:w="12240" w:h="15840" w:orient="portrait"/>
      <w:pgMar w:top="1440" w:right="1440" w:bottom="1440" w:left="1440" w:header="720" w:footer="10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aramond">
    <w:charset w:val="00"/>
    <w:family w:val="roman"/>
    <w:pitch w:val="default"/>
  </w:font>
  <w:font w:name="Courier New">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rFonts w:ascii="Garamond" w:hAnsi="Garamond"/>
        <w:sz w:val="20"/>
        <w:szCs w:val="20"/>
        <w:rtl w:val="0"/>
        <w:lang w:val="en-US"/>
      </w:rPr>
      <w:t xml:space="preserve">Easterly and Levine 1997 - </w:t>
    </w:r>
    <w:r>
      <w:rPr>
        <w:rFonts w:ascii="Garamond" w:cs="Garamond" w:hAnsi="Garamond" w:eastAsia="Garamond"/>
        <w:sz w:val="20"/>
        <w:szCs w:val="20"/>
        <w:rtl w:val="0"/>
      </w:rPr>
      <w:fldChar w:fldCharType="begin" w:fldLock="0"/>
    </w:r>
    <w:r>
      <w:rPr>
        <w:rFonts w:ascii="Garamond" w:cs="Garamond" w:hAnsi="Garamond" w:eastAsia="Garamond"/>
        <w:sz w:val="20"/>
        <w:szCs w:val="20"/>
        <w:rtl w:val="0"/>
      </w:rPr>
      <w:instrText xml:space="preserve"> PAGE </w:instrText>
    </w:r>
    <w:r>
      <w:rPr>
        <w:rFonts w:ascii="Garamond" w:cs="Garamond" w:hAnsi="Garamond" w:eastAsia="Garamond"/>
        <w:sz w:val="20"/>
        <w:szCs w:val="20"/>
        <w:rtl w:val="0"/>
      </w:rPr>
      <w:fldChar w:fldCharType="separate" w:fldLock="0"/>
    </w:r>
    <w:r>
      <w:rPr>
        <w:rFonts w:ascii="Garamond" w:cs="Garamond" w:hAnsi="Garamond" w:eastAsia="Garamond"/>
        <w:sz w:val="20"/>
        <w:szCs w:val="20"/>
        <w:rtl w:val="0"/>
      </w:rPr>
    </w:r>
    <w:r>
      <w:rPr>
        <w:rFonts w:ascii="Garamond" w:cs="Garamond" w:hAnsi="Garamond" w:eastAsia="Garamond"/>
        <w:sz w:val="20"/>
        <w:szCs w:val="20"/>
        <w:rtl w:val="0"/>
      </w:rPr>
      <w:fldChar w:fldCharType="end" w:fldLock="0"/>
    </w:r>
    <w:r>
      <w:rPr>
        <w:rFonts w:ascii="Garamond" w:cs="Garamond" w:hAnsi="Garamond" w:eastAsia="Garamond"/>
        <w:sz w:val="20"/>
        <w:szCs w:val="20"/>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Garamond" w:hAnsi="Garamond"/>
        <w:b w:val="1"/>
        <w:bCs w:val="1"/>
        <w:rtl w:val="0"/>
        <w:lang w:val="en-US"/>
      </w:rPr>
      <w:t xml:space="preserve">Easterly, William and Ross Levine. 1997. </w:t>
    </w:r>
    <w:r>
      <w:rPr>
        <w:rFonts w:ascii="Garamond" w:hAnsi="Garamond" w:hint="default"/>
        <w:b w:val="1"/>
        <w:bCs w:val="1"/>
        <w:rtl w:val="0"/>
        <w:lang w:val="en-US"/>
      </w:rPr>
      <w:t>“</w:t>
    </w:r>
    <w:r>
      <w:rPr>
        <w:rFonts w:ascii="Garamond" w:hAnsi="Garamond"/>
        <w:b w:val="1"/>
        <w:bCs w:val="1"/>
        <w:rtl w:val="0"/>
        <w:lang w:val="en-US"/>
      </w:rPr>
      <w:t>Africa</w:t>
    </w:r>
    <w:r>
      <w:rPr>
        <w:rFonts w:ascii="Garamond" w:hAnsi="Garamond" w:hint="default"/>
        <w:b w:val="1"/>
        <w:bCs w:val="1"/>
        <w:rtl w:val="0"/>
        <w:lang w:val="en-US"/>
      </w:rPr>
      <w:t>’</w:t>
    </w:r>
    <w:r>
      <w:rPr>
        <w:rFonts w:ascii="Garamond" w:hAnsi="Garamond"/>
        <w:b w:val="1"/>
        <w:bCs w:val="1"/>
        <w:rtl w:val="0"/>
        <w:lang w:val="en-US"/>
      </w:rPr>
      <w:t>s Growth Tragedy: Policies and Ethnic Divisions.</w:t>
    </w:r>
    <w:r>
      <w:rPr>
        <w:rFonts w:ascii="Garamond" w:hAnsi="Garamond" w:hint="default"/>
        <w:b w:val="1"/>
        <w:bCs w:val="1"/>
        <w:rtl w:val="0"/>
        <w:lang w:val="en-US"/>
      </w:rPr>
      <w:t xml:space="preserve">” </w:t>
    </w:r>
    <w:r>
      <w:rPr>
        <w:rFonts w:ascii="Garamond" w:hAnsi="Garamond"/>
        <w:b w:val="1"/>
        <w:bCs w:val="1"/>
        <w:i w:val="1"/>
        <w:iCs w:val="1"/>
        <w:rtl w:val="0"/>
        <w:lang w:val="en-US"/>
      </w:rPr>
      <w:t xml:space="preserve">Quarterly Journal of Economics. </w:t>
    </w:r>
    <w:r>
      <w:rPr>
        <w:rFonts w:ascii="Garamond" w:hAnsi="Garamond"/>
        <w:b w:val="1"/>
        <w:bCs w:val="1"/>
        <w:rtl w:val="0"/>
        <w:lang w:val="en-US"/>
      </w:rPr>
      <w:t>112: 1203-1250.</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Page Number">
    <w:name w:val="Page Number"/>
    <w:rPr>
      <w:lang w:val="en-US"/>
    </w:rPr>
  </w:style>
  <w:style w:type="numbering" w:styleId="Imported Style 2">
    <w:name w:val="Imported Style 2"/>
    <w:pPr>
      <w:numPr>
        <w:numId w:val="3"/>
      </w:numPr>
    </w:pPr>
  </w:style>
  <w:style w:type="numbering" w:styleId="Imported Style 3">
    <w:name w:val="Imported Style 3"/>
    <w:pPr>
      <w:numPr>
        <w:numId w:val="5"/>
      </w:numPr>
    </w:pPr>
  </w:style>
  <w:style w:type="paragraph" w:styleId="Normal (Web)">
    <w:name w:val="Normal (Web)"/>
    <w:next w:val="Normal (We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