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51F" w14:textId="77777777" w:rsidR="0015762A" w:rsidRPr="00256726" w:rsidRDefault="0015762A" w:rsidP="00F611A0">
      <w:pPr>
        <w:pStyle w:val="Title"/>
        <w:rPr>
          <w:rFonts w:asciiTheme="minorHAnsi" w:eastAsia="Times New Roman" w:hAnsiTheme="minorHAnsi" w:cstheme="minorHAnsi"/>
        </w:rPr>
      </w:pPr>
      <w:r w:rsidRPr="00256726">
        <w:rPr>
          <w:rFonts w:asciiTheme="minorHAnsi" w:eastAsia="Times New Roman" w:hAnsiTheme="minorHAnsi" w:cstheme="minorHAnsi"/>
        </w:rPr>
        <w:t>Financial Analysis Project</w:t>
      </w:r>
    </w:p>
    <w:p w14:paraId="662E64FB" w14:textId="4DE1EAC9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</w:p>
    <w:p w14:paraId="6EF90785" w14:textId="08AEF15E" w:rsidR="0015762A" w:rsidRPr="00256726" w:rsidRDefault="0015762A">
      <w:pPr>
        <w:rPr>
          <w:rStyle w:val="description"/>
          <w:rFonts w:cstheme="minorHAnsi"/>
          <w:color w:val="2D3B45"/>
          <w:shd w:val="clear" w:color="auto" w:fill="FFFFFF"/>
        </w:rPr>
      </w:pPr>
      <w:r w:rsidRPr="00256726">
        <w:rPr>
          <w:rStyle w:val="description"/>
          <w:rFonts w:cstheme="minorHAnsi"/>
          <w:color w:val="2D3B45"/>
          <w:shd w:val="clear" w:color="auto" w:fill="FFFFFF"/>
        </w:rPr>
        <w:t>Trend Analysis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2322"/>
        <w:gridCol w:w="1177"/>
        <w:gridCol w:w="1177"/>
        <w:gridCol w:w="2099"/>
        <w:gridCol w:w="1685"/>
      </w:tblGrid>
      <w:tr w:rsidR="0015762A" w:rsidRPr="0015762A" w14:paraId="6D286DEF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854157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CONDENSED INCOME STATEMENT</w:t>
            </w:r>
          </w:p>
        </w:tc>
      </w:tr>
      <w:tr w:rsidR="0015762A" w:rsidRPr="0015762A" w14:paraId="1A936577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0E6708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Horizontal Analysis (trend) </w:t>
            </w:r>
          </w:p>
        </w:tc>
      </w:tr>
      <w:tr w:rsidR="0015762A" w:rsidRPr="0015762A" w14:paraId="0A69A785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A84B9E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($ in millions)</w:t>
            </w:r>
          </w:p>
        </w:tc>
      </w:tr>
      <w:tr w:rsidR="0015762A" w:rsidRPr="0015762A" w14:paraId="1BAE34E1" w14:textId="77777777" w:rsidTr="0015762A">
        <w:trPr>
          <w:trHeight w:val="9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C58D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Fiscal year ended: 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F9A49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2C4FA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FF8C436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Amount of Increase or (Decrease)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58C1FD5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Percent of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 xml:space="preserve">Increase or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(Decrease)</w:t>
            </w:r>
          </w:p>
        </w:tc>
      </w:tr>
      <w:tr w:rsidR="0015762A" w:rsidRPr="0015762A" w14:paraId="03BF6CFA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52F510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Net Sales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(Revenue)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43BF8D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1,898,094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18476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1,284,500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79448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613,594.00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476376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148%</w:t>
            </w:r>
          </w:p>
        </w:tc>
      </w:tr>
      <w:tr w:rsidR="0015762A" w:rsidRPr="0015762A" w14:paraId="040EEA50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C474C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Cost of Goods Sold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C00A5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985,818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58CF7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676,328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B123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309,490.00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96C4F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146%</w:t>
            </w:r>
          </w:p>
        </w:tc>
      </w:tr>
      <w:tr w:rsidR="0015762A" w:rsidRPr="0015762A" w14:paraId="59F30E91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B3FA37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Gross Margin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(Gross Profit)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6F63CC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912,276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54793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608,172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BA8F8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304,104.00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217E3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150%</w:t>
            </w:r>
          </w:p>
        </w:tc>
      </w:tr>
      <w:tr w:rsidR="0015762A" w:rsidRPr="0015762A" w14:paraId="47A66CCE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C82B8A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Operating Expenses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(Selling &amp; Admin)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F3BA3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169,684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3A8826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129,974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85E2F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39,710.00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5FCF7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131%</w:t>
            </w:r>
          </w:p>
        </w:tc>
      </w:tr>
      <w:tr w:rsidR="0015762A" w:rsidRPr="0015762A" w14:paraId="204D0A48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6A9089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from Operations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BC001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742,592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5D68A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478,198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8380E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264,394.00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1F57316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155%</w:t>
            </w:r>
          </w:p>
        </w:tc>
      </w:tr>
      <w:tr w:rsidR="0015762A" w:rsidRPr="0015762A" w14:paraId="0D4735C0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690263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Other Gains &amp; Losses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17502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-14,938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6A637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-28,002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75FB9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13,064.00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42586D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53%</w:t>
            </w:r>
          </w:p>
        </w:tc>
      </w:tr>
      <w:tr w:rsidR="0015762A" w:rsidRPr="0015762A" w14:paraId="70E165E6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FE5CCC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before Income Tax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EEF4AC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727,654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2D2B7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450,196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E8A0C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277,458.00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6C255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162%</w:t>
            </w:r>
          </w:p>
        </w:tc>
      </w:tr>
      <w:tr w:rsidR="0015762A" w:rsidRPr="0015762A" w14:paraId="66BB7684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20F2CF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Tax Expense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B3C64FB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111,070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FAD0F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69,899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2E8CC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41,171.00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DBCFB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159%</w:t>
            </w:r>
          </w:p>
        </w:tc>
      </w:tr>
      <w:tr w:rsidR="0015762A" w:rsidRPr="0015762A" w14:paraId="1471CBA2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0BE8F2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before Nonrecurring Items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86A5E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978DD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298C2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F1C72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7107A1E5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C9DBC9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Nonrecurring Items (Extraordinary)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5A177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44472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6B02F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E203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27BC6C57" w14:textId="77777777" w:rsidTr="0015762A">
        <w:trPr>
          <w:trHeight w:val="600"/>
        </w:trPr>
        <w:tc>
          <w:tcPr>
            <w:tcW w:w="23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CDAB10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Net Income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C5FD2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616,584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8CE5E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380,297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5CC62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236,287.00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29B97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162%</w:t>
            </w:r>
          </w:p>
        </w:tc>
      </w:tr>
    </w:tbl>
    <w:p w14:paraId="3A6E55BA" w14:textId="0294FDE1" w:rsidR="0015762A" w:rsidRPr="00256726" w:rsidRDefault="0015762A">
      <w:pPr>
        <w:rPr>
          <w:rStyle w:val="description"/>
          <w:rFonts w:cstheme="minorHAnsi"/>
          <w:color w:val="2D3B45"/>
          <w:shd w:val="clear" w:color="auto" w:fill="FFFFFF"/>
        </w:rPr>
      </w:pPr>
    </w:p>
    <w:tbl>
      <w:tblPr>
        <w:tblW w:w="8460" w:type="dxa"/>
        <w:tblLook w:val="04A0" w:firstRow="1" w:lastRow="0" w:firstColumn="1" w:lastColumn="0" w:noHBand="0" w:noVBand="1"/>
      </w:tblPr>
      <w:tblGrid>
        <w:gridCol w:w="2145"/>
        <w:gridCol w:w="1025"/>
        <w:gridCol w:w="1253"/>
        <w:gridCol w:w="2243"/>
        <w:gridCol w:w="1794"/>
      </w:tblGrid>
      <w:tr w:rsidR="0015762A" w:rsidRPr="0015762A" w14:paraId="19E6FA31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190523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CONDENSED CLASSIFIED BALANCE SHEET</w:t>
            </w:r>
          </w:p>
        </w:tc>
      </w:tr>
      <w:tr w:rsidR="0015762A" w:rsidRPr="0015762A" w14:paraId="4E919718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18E18C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Horizontal Analysis (trend) </w:t>
            </w:r>
          </w:p>
        </w:tc>
      </w:tr>
      <w:tr w:rsidR="0015762A" w:rsidRPr="0015762A" w14:paraId="360BE18C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E4863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($ in millions)</w:t>
            </w:r>
          </w:p>
        </w:tc>
      </w:tr>
      <w:tr w:rsidR="0015762A" w:rsidRPr="0015762A" w14:paraId="781BFD97" w14:textId="77777777" w:rsidTr="0015762A">
        <w:trPr>
          <w:trHeight w:val="9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D87AB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Dated: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E7D96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8C1CFC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240C95A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Amount of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 xml:space="preserve">Increase or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(Decrease)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A793CBD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Percent of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 xml:space="preserve">Increase or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(Decrease)</w:t>
            </w:r>
          </w:p>
        </w:tc>
      </w:tr>
      <w:tr w:rsidR="0015762A" w:rsidRPr="0015762A" w14:paraId="5647D9C4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4DC8F6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lastRenderedPageBreak/>
              <w:t>Current Assets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754A16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694,156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A823A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586,647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6BB83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107,509.00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87294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118%</w:t>
            </w:r>
          </w:p>
        </w:tc>
      </w:tr>
      <w:tr w:rsidR="0015762A" w:rsidRPr="0015762A" w14:paraId="3E87936F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D7A24E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Property, Plant, &amp;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Equipment, net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6463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79,061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20DB2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78,522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84A7C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      539.00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12689F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101%</w:t>
            </w:r>
          </w:p>
        </w:tc>
      </w:tr>
      <w:tr w:rsidR="0015762A" w:rsidRPr="0015762A" w14:paraId="20C3A0C3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22FE6D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Other Assets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B7790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71,946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3ABFBB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43,223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E41EA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28,723.00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77D21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166%</w:t>
            </w:r>
          </w:p>
        </w:tc>
      </w:tr>
      <w:tr w:rsidR="0015762A" w:rsidRPr="0015762A" w14:paraId="735D28E7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BFB1B9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TOTAL Assets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5EB6B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890,985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94672B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737,451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46AA8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153,534.00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09931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121%</w:t>
            </w:r>
          </w:p>
        </w:tc>
      </w:tr>
      <w:tr w:rsidR="0015762A" w:rsidRPr="0015762A" w14:paraId="1A37B7F7" w14:textId="77777777" w:rsidTr="0015762A">
        <w:trPr>
          <w:trHeight w:val="3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7F72BD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58BB2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11ADC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C446B8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DD274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302E2FF3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6993FE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Current Liabilities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35F54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276,412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0ECB7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264,297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A0F3B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12,115.00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B3937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105%</w:t>
            </w:r>
          </w:p>
        </w:tc>
      </w:tr>
      <w:tr w:rsidR="0015762A" w:rsidRPr="0015762A" w14:paraId="0BBEF0E4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6F25BA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Long-term Liabilities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B443AE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888,286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09554D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1,032,909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E45B6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</w:t>
            </w:r>
            <w:proofErr w:type="gramStart"/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(</w:t>
            </w:r>
            <w:proofErr w:type="gramEnd"/>
            <w:r w:rsidRPr="0015762A">
              <w:rPr>
                <w:rFonts w:eastAsia="Times New Roman" w:cstheme="minorHAnsi"/>
                <w:b/>
                <w:bCs/>
                <w:color w:val="3F3F3F"/>
              </w:rPr>
              <w:t>144,623.00)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943B9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86%</w:t>
            </w:r>
          </w:p>
        </w:tc>
      </w:tr>
      <w:tr w:rsidR="0015762A" w:rsidRPr="0015762A" w14:paraId="7971D68E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72C16E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Contributed Capital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78402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410BD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6F95A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CE5A7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5978C3EE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F40F66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Retained Earnings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3AA2B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2,635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812EA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-295,978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C2C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298,613.00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CA786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-1%</w:t>
            </w:r>
          </w:p>
        </w:tc>
      </w:tr>
      <w:tr w:rsidR="0015762A" w:rsidRPr="0015762A" w14:paraId="3A623B64" w14:textId="77777777" w:rsidTr="0015762A">
        <w:trPr>
          <w:trHeight w:val="9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9015F2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Treasury Stock &amp; Other Stockholders' Equity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AB040D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2,699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C72DC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-295,458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33267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298,157.00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56BB7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-1%</w:t>
            </w:r>
          </w:p>
        </w:tc>
      </w:tr>
      <w:tr w:rsidR="0015762A" w:rsidRPr="0015762A" w14:paraId="33C2F67A" w14:textId="77777777" w:rsidTr="0015762A">
        <w:trPr>
          <w:trHeight w:val="600"/>
        </w:trPr>
        <w:tc>
          <w:tcPr>
            <w:tcW w:w="214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58D348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TOTAL Liabilities &amp; Stockholders' Equity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25310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890,985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5C6E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737,451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3CA08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153,534.00 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E62FC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121%</w:t>
            </w:r>
          </w:p>
        </w:tc>
      </w:tr>
    </w:tbl>
    <w:p w14:paraId="28DC6407" w14:textId="77777777" w:rsidR="0015762A" w:rsidRPr="00256726" w:rsidRDefault="0015762A">
      <w:pPr>
        <w:rPr>
          <w:rStyle w:val="description"/>
          <w:rFonts w:cstheme="minorHAnsi"/>
          <w:color w:val="2D3B45"/>
          <w:shd w:val="clear" w:color="auto" w:fill="FFFFFF"/>
        </w:rPr>
      </w:pPr>
    </w:p>
    <w:p w14:paraId="4232EE9B" w14:textId="36F87864" w:rsidR="0015762A" w:rsidRPr="00256726" w:rsidRDefault="0015762A">
      <w:pPr>
        <w:rPr>
          <w:rStyle w:val="description"/>
          <w:rFonts w:cstheme="minorHAnsi"/>
          <w:color w:val="2D3B45"/>
          <w:shd w:val="clear" w:color="auto" w:fill="FFFFFF"/>
        </w:rPr>
      </w:pPr>
    </w:p>
    <w:p w14:paraId="752F6420" w14:textId="67260C8E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2D3B45"/>
          <w:shd w:val="clear" w:color="auto" w:fill="FFFFFF"/>
        </w:rPr>
        <w:t>Common Size Financial Statements</w:t>
      </w:r>
    </w:p>
    <w:tbl>
      <w:tblPr>
        <w:tblW w:w="8461" w:type="dxa"/>
        <w:tblLook w:val="04A0" w:firstRow="1" w:lastRow="0" w:firstColumn="1" w:lastColumn="0" w:noHBand="0" w:noVBand="1"/>
      </w:tblPr>
      <w:tblGrid>
        <w:gridCol w:w="2917"/>
        <w:gridCol w:w="1480"/>
        <w:gridCol w:w="1292"/>
        <w:gridCol w:w="1480"/>
        <w:gridCol w:w="1292"/>
      </w:tblGrid>
      <w:tr w:rsidR="0015762A" w:rsidRPr="0015762A" w14:paraId="7CB48E58" w14:textId="77777777" w:rsidTr="0015762A">
        <w:trPr>
          <w:trHeight w:val="300"/>
        </w:trPr>
        <w:tc>
          <w:tcPr>
            <w:tcW w:w="846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BC0561D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CONDENSED INCOME STATEMENT</w:t>
            </w:r>
          </w:p>
        </w:tc>
      </w:tr>
      <w:tr w:rsidR="0015762A" w:rsidRPr="0015762A" w14:paraId="7C1D1CA9" w14:textId="77777777" w:rsidTr="0015762A">
        <w:trPr>
          <w:trHeight w:val="300"/>
        </w:trPr>
        <w:tc>
          <w:tcPr>
            <w:tcW w:w="846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C5B0D1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Vertical Analysis (</w:t>
            </w:r>
            <w:proofErr w:type="gramStart"/>
            <w:r w:rsidRPr="0015762A">
              <w:rPr>
                <w:rFonts w:eastAsia="Times New Roman" w:cstheme="minorHAnsi"/>
                <w:b/>
                <w:bCs/>
                <w:color w:val="3F3F3F"/>
              </w:rPr>
              <w:t>common-size</w:t>
            </w:r>
            <w:proofErr w:type="gramEnd"/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) </w:t>
            </w:r>
          </w:p>
        </w:tc>
      </w:tr>
      <w:tr w:rsidR="0015762A" w:rsidRPr="0015762A" w14:paraId="7CB80499" w14:textId="77777777" w:rsidTr="0015762A">
        <w:trPr>
          <w:trHeight w:val="300"/>
        </w:trPr>
        <w:tc>
          <w:tcPr>
            <w:tcW w:w="846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3E17E54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($ in millions)</w:t>
            </w:r>
          </w:p>
        </w:tc>
      </w:tr>
      <w:tr w:rsidR="0015762A" w:rsidRPr="0015762A" w14:paraId="3CD582C2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95689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Fiscal year ended: </w:t>
            </w:r>
          </w:p>
        </w:tc>
        <w:tc>
          <w:tcPr>
            <w:tcW w:w="2772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DAC213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2772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541C7C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</w:tr>
      <w:tr w:rsidR="0015762A" w:rsidRPr="0015762A" w14:paraId="365CE6AE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60631C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Net Sales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(Revenue)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B08F5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1,898,094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76B8B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100.00%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A323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1,284,500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84E54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100.00%</w:t>
            </w:r>
          </w:p>
        </w:tc>
      </w:tr>
      <w:tr w:rsidR="0015762A" w:rsidRPr="0015762A" w14:paraId="3B92098C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50A6DC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Cost of Goods Sold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22AA4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985,818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EB8C6E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51.94%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7756F6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676,328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50171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52.65%</w:t>
            </w:r>
          </w:p>
        </w:tc>
      </w:tr>
      <w:tr w:rsidR="0015762A" w:rsidRPr="0015762A" w14:paraId="4AB9076E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C850AE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Gross Margin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(Gross Profit)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01732D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912,276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AC650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48.06%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ACBC0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608,172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B5FD0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47.35%</w:t>
            </w:r>
          </w:p>
        </w:tc>
      </w:tr>
      <w:tr w:rsidR="0015762A" w:rsidRPr="0015762A" w14:paraId="5F509F41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75ED39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Operating Expenses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(Selling &amp; Admin)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E900E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169,684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D49A1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8.94%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27A3EB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129,974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C8401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10.12%</w:t>
            </w:r>
          </w:p>
        </w:tc>
      </w:tr>
      <w:tr w:rsidR="0015762A" w:rsidRPr="0015762A" w14:paraId="4109D024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2FA711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from Operations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D0FEC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742,592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CA20F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39.12%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D5E3D1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478,198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5AE4D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37.23%</w:t>
            </w:r>
          </w:p>
        </w:tc>
      </w:tr>
      <w:tr w:rsidR="0015762A" w:rsidRPr="0015762A" w14:paraId="76C2AFEE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082CC3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lastRenderedPageBreak/>
              <w:t>Other Gains &amp; Losses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4E163B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-14,938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BA9E5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-0.79%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5896E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-28,002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A1804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-2.18%</w:t>
            </w:r>
          </w:p>
        </w:tc>
      </w:tr>
      <w:tr w:rsidR="0015762A" w:rsidRPr="0015762A" w14:paraId="03ADE444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5E427A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before Income Tax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D15A8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727,654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8ABD5E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38.34%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8F8E3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450,196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4F063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35.05%</w:t>
            </w:r>
          </w:p>
        </w:tc>
      </w:tr>
      <w:tr w:rsidR="0015762A" w:rsidRPr="0015762A" w14:paraId="432330A6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11AC35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Tax Expense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C4DB1D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111,070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16C0B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5.85%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EB72B6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69,899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9C883B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5.44%</w:t>
            </w:r>
          </w:p>
        </w:tc>
      </w:tr>
      <w:tr w:rsidR="0015762A" w:rsidRPr="0015762A" w14:paraId="2971906C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80E3BC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Income before Nonrecurring Items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1720B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F293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ED95F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F4D9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DB38279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4BE59F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Nonrecurring Items (Extraordinary)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E7E0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857A7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B8936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8FBC4A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5A77BA5" w14:textId="77777777" w:rsidTr="0015762A">
        <w:trPr>
          <w:trHeight w:val="600"/>
        </w:trPr>
        <w:tc>
          <w:tcPr>
            <w:tcW w:w="291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AA12CF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Net Income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46740B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616,584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DE96F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32.48%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51B0A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380,297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F308D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29.61%</w:t>
            </w:r>
          </w:p>
        </w:tc>
      </w:tr>
    </w:tbl>
    <w:p w14:paraId="39BC9FF8" w14:textId="453F4AB9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</w:p>
    <w:tbl>
      <w:tblPr>
        <w:tblW w:w="8460" w:type="dxa"/>
        <w:tblLook w:val="04A0" w:firstRow="1" w:lastRow="0" w:firstColumn="1" w:lastColumn="0" w:noHBand="0" w:noVBand="1"/>
      </w:tblPr>
      <w:tblGrid>
        <w:gridCol w:w="2870"/>
        <w:gridCol w:w="1372"/>
        <w:gridCol w:w="1465"/>
        <w:gridCol w:w="1677"/>
        <w:gridCol w:w="1076"/>
      </w:tblGrid>
      <w:tr w:rsidR="0015762A" w:rsidRPr="0015762A" w14:paraId="144D6DE1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9C253D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CONDENSED CLASSIFIED BALANCE SHEET</w:t>
            </w:r>
          </w:p>
        </w:tc>
      </w:tr>
      <w:tr w:rsidR="0015762A" w:rsidRPr="0015762A" w14:paraId="4C737F83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7D069C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Vertical Analysis (</w:t>
            </w:r>
            <w:proofErr w:type="gramStart"/>
            <w:r w:rsidRPr="0015762A">
              <w:rPr>
                <w:rFonts w:eastAsia="Times New Roman" w:cstheme="minorHAnsi"/>
                <w:b/>
                <w:bCs/>
                <w:color w:val="3F3F3F"/>
              </w:rPr>
              <w:t>common-size</w:t>
            </w:r>
            <w:proofErr w:type="gramEnd"/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) </w:t>
            </w:r>
          </w:p>
        </w:tc>
      </w:tr>
      <w:tr w:rsidR="0015762A" w:rsidRPr="0015762A" w14:paraId="57CE0EE7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EFB3B6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($ in millions)</w:t>
            </w:r>
          </w:p>
        </w:tc>
      </w:tr>
      <w:tr w:rsidR="0015762A" w:rsidRPr="0015762A" w14:paraId="42C0A245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1EA03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Dated:</w:t>
            </w:r>
          </w:p>
        </w:tc>
        <w:tc>
          <w:tcPr>
            <w:tcW w:w="2837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F43D56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2753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E1D54D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</w:tr>
      <w:tr w:rsidR="0015762A" w:rsidRPr="0015762A" w14:paraId="2C41395B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31E0CD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Current Assets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DFF49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694,156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B7263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100.00%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40D76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586,647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F946DB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100%</w:t>
            </w:r>
          </w:p>
        </w:tc>
      </w:tr>
      <w:tr w:rsidR="0015762A" w:rsidRPr="0015762A" w14:paraId="70C3E121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D421CE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Property, Plant, &amp; 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Equipment, net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5C3A7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79,061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3AB71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11.39%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8E2C5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78,522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47062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13%</w:t>
            </w:r>
          </w:p>
        </w:tc>
      </w:tr>
      <w:tr w:rsidR="0015762A" w:rsidRPr="0015762A" w14:paraId="0ADA8201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5A09C7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Other Assets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9F1CE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71,946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3BE8C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10.36%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5206C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43,223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FDA0ABC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7%</w:t>
            </w:r>
          </w:p>
        </w:tc>
      </w:tr>
      <w:tr w:rsidR="0015762A" w:rsidRPr="0015762A" w14:paraId="3FA56186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BBA113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TOTAL Assets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33554E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890,985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5C619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128.36%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187F9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737,451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2FA3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126%</w:t>
            </w:r>
          </w:p>
        </w:tc>
      </w:tr>
      <w:tr w:rsidR="0015762A" w:rsidRPr="0015762A" w14:paraId="76AA24CB" w14:textId="77777777" w:rsidTr="0015762A">
        <w:trPr>
          <w:trHeight w:val="3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69B3A3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14C5A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EEFBD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4164F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CA3D9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7A41B324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85276A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Current Liabilities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9EEF1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276,412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45FF2D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100.00%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5B03F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264,297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B3F16E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100%</w:t>
            </w:r>
          </w:p>
        </w:tc>
      </w:tr>
      <w:tr w:rsidR="0015762A" w:rsidRPr="0015762A" w14:paraId="1ABE0AC5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582766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Long-term Liabilities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04E68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888,286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0C5064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321.36%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74B82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1,032,909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C9E0B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391%</w:t>
            </w:r>
          </w:p>
        </w:tc>
      </w:tr>
      <w:tr w:rsidR="0015762A" w:rsidRPr="0015762A" w14:paraId="53EA8578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7AFF5F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Contributed Capital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7AF83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92264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D2939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75953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0E312C3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70F3DA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Retained Earnings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BD59E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2,635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2EE72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0.95%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65D2A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-295,978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04E24B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-112%</w:t>
            </w:r>
          </w:p>
        </w:tc>
      </w:tr>
      <w:tr w:rsidR="0015762A" w:rsidRPr="0015762A" w14:paraId="380BA32E" w14:textId="77777777" w:rsidTr="0015762A">
        <w:trPr>
          <w:trHeight w:val="9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253A8F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Treasury Stock &amp; Other Stockholders' Equity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5FBAC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2,699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14DD90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0.98%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84B34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-295,458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DDAB9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-112%</w:t>
            </w:r>
          </w:p>
        </w:tc>
      </w:tr>
      <w:tr w:rsidR="0015762A" w:rsidRPr="0015762A" w14:paraId="4ABB2E77" w14:textId="77777777" w:rsidTr="0015762A">
        <w:trPr>
          <w:trHeight w:val="600"/>
        </w:trPr>
        <w:tc>
          <w:tcPr>
            <w:tcW w:w="28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17FFCD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TOTAL Liabilities &amp; Stockholders' Equity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12C75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890,985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690F9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322.34%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4A4930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737,451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A91C9B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279%</w:t>
            </w:r>
          </w:p>
        </w:tc>
      </w:tr>
    </w:tbl>
    <w:p w14:paraId="2822769F" w14:textId="77777777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</w:p>
    <w:p w14:paraId="1D8C300E" w14:textId="71307B72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2D3B45"/>
          <w:shd w:val="clear" w:color="auto" w:fill="FFFFFF"/>
        </w:rPr>
        <w:lastRenderedPageBreak/>
        <w:t>Liquidity Ratios</w:t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1874"/>
        <w:gridCol w:w="721"/>
        <w:gridCol w:w="836"/>
        <w:gridCol w:w="1262"/>
        <w:gridCol w:w="976"/>
      </w:tblGrid>
      <w:tr w:rsidR="0015762A" w:rsidRPr="0015762A" w14:paraId="086B691D" w14:textId="77777777" w:rsidTr="0015762A">
        <w:trPr>
          <w:trHeight w:val="300"/>
        </w:trPr>
        <w:tc>
          <w:tcPr>
            <w:tcW w:w="554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C8CCF3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Liquidity Ratios</w:t>
            </w:r>
          </w:p>
        </w:tc>
      </w:tr>
      <w:tr w:rsidR="0015762A" w:rsidRPr="0015762A" w14:paraId="45B7DDB6" w14:textId="77777777" w:rsidTr="0015762A">
        <w:trPr>
          <w:trHeight w:val="6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AC210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Fiscal year ended: 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57CCD4F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DD2485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1CECD78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Competitor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5AD558D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Industry Average</w:t>
            </w:r>
          </w:p>
        </w:tc>
      </w:tr>
      <w:tr w:rsidR="0015762A" w:rsidRPr="0015762A" w14:paraId="05AD0936" w14:textId="77777777" w:rsidTr="0015762A">
        <w:trPr>
          <w:trHeight w:val="9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9C160A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Working capital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(current assets-current liabilities)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A53F0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-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6FEC6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-  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CBE9E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</w:t>
            </w:r>
            <w:proofErr w:type="gramStart"/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(</w:t>
            </w:r>
            <w:proofErr w:type="gramEnd"/>
            <w:r w:rsidRPr="0015762A">
              <w:rPr>
                <w:rFonts w:eastAsia="Times New Roman" w:cstheme="minorHAnsi"/>
                <w:b/>
                <w:bCs/>
                <w:color w:val="3F3F3F"/>
              </w:rPr>
              <w:t>469.40)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D82FC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0921DAF3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47070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E56A09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2D5DE621" w14:textId="77777777" w:rsidTr="0015762A">
        <w:trPr>
          <w:trHeight w:val="9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2D9638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Current ratio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current assets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current liabilities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CC4EA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1.00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F1DBB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1.00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8607A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0.91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DFFF9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1CDEC243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6524D8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7580E6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2ED0EBE9" w14:textId="77777777" w:rsidTr="0015762A">
        <w:trPr>
          <w:trHeight w:val="9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8CF3B7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Inventory turnover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cost of goods sold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average inventory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29F84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4.22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25F19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2.37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B2F49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5F306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FE632F5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FF7133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4A959C8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1C5EB48" w14:textId="77777777" w:rsidTr="0015762A">
        <w:trPr>
          <w:trHeight w:val="9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D3DD10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Days in inventory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365 days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inventory turnover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889BD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86.55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ED0281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154.32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9F5DD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DFC64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1E7636DC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0E00C0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92AA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D036C55" w14:textId="77777777" w:rsidTr="0015762A">
        <w:trPr>
          <w:trHeight w:val="12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8236B1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Acct. rec. turnover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credit sales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avg net accounts receivable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12588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5.25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F999EC3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4.25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36C55D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0.14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25D90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33EBEE99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75FD8B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09A42B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256B69EA" w14:textId="77777777" w:rsidTr="0015762A">
        <w:trPr>
          <w:trHeight w:val="12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D2D296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Avg collection period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365 days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acct rec turnover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9AAC7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69.46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D611F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85.88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7B087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2,626.14 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FFB26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1504837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4CB09B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40141C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2CE38A0" w14:textId="77777777" w:rsidTr="0015762A">
        <w:trPr>
          <w:trHeight w:val="9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5FEF623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Operating cycle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days in inv + avg collection period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97919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5.25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B98E9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4.25 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F57C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F70D8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7485BD1A" w14:textId="77777777" w:rsidTr="0015762A">
        <w:trPr>
          <w:trHeight w:val="300"/>
        </w:trPr>
        <w:tc>
          <w:tcPr>
            <w:tcW w:w="1874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C5F2A6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3666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EA171F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</w:tbl>
    <w:p w14:paraId="6BFCCA3C" w14:textId="5BE74985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</w:p>
    <w:p w14:paraId="52FC588B" w14:textId="252DCC0E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2D3B45"/>
          <w:shd w:val="clear" w:color="auto" w:fill="FFFFFF"/>
        </w:rPr>
        <w:t>Solvency Ratios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900"/>
        <w:gridCol w:w="1679"/>
        <w:gridCol w:w="1679"/>
        <w:gridCol w:w="1679"/>
        <w:gridCol w:w="1523"/>
      </w:tblGrid>
      <w:tr w:rsidR="0015762A" w:rsidRPr="0015762A" w14:paraId="48C9887C" w14:textId="77777777" w:rsidTr="0015762A">
        <w:trPr>
          <w:trHeight w:val="300"/>
        </w:trPr>
        <w:tc>
          <w:tcPr>
            <w:tcW w:w="8460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BF1D08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Solvency Ratios</w:t>
            </w:r>
          </w:p>
        </w:tc>
      </w:tr>
      <w:tr w:rsidR="0015762A" w:rsidRPr="0015762A" w14:paraId="780FFC8E" w14:textId="77777777" w:rsidTr="0015762A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85C8F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Fiscal year ended: 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AEC32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7C3EC71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2528053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Competitor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02119865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Industry Average</w:t>
            </w:r>
          </w:p>
        </w:tc>
      </w:tr>
      <w:tr w:rsidR="0015762A" w:rsidRPr="0015762A" w14:paraId="08143C6F" w14:textId="77777777" w:rsidTr="0015762A">
        <w:trPr>
          <w:trHeight w:val="803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858D7B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lastRenderedPageBreak/>
              <w:t>Debt to assets ratio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total liabilities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total assets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3574E5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           1.00 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64F31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           1.00 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CE758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$                      1.00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7F6A0C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3E7F7358" w14:textId="77777777" w:rsidTr="0015762A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5F1B4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656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AA67265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2516E5F1" w14:textId="77777777" w:rsidTr="0015762A">
        <w:trPr>
          <w:trHeight w:val="803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A78CAF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Times interest earned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NI + Int Exp + Inc Tax Exp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interest expense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0F30F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(48.00)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60EE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0797D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(662.41)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5871E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0DDBA87" w14:textId="77777777" w:rsidTr="0015762A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A80106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656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027F63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386CC52" w14:textId="77777777" w:rsidTr="0015762A">
        <w:trPr>
          <w:trHeight w:val="803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549A46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Free cash flow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 xml:space="preserve">Net cash provided by </w:t>
            </w:r>
            <w:proofErr w:type="spellStart"/>
            <w:r w:rsidRPr="0015762A">
              <w:rPr>
                <w:rFonts w:eastAsia="Times New Roman" w:cstheme="minorHAnsi"/>
                <w:b/>
                <w:bCs/>
                <w:color w:val="3F3F3F"/>
              </w:rPr>
              <w:t>Oper</w:t>
            </w:r>
            <w:proofErr w:type="spellEnd"/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. Act - capital </w:t>
            </w:r>
            <w:proofErr w:type="gramStart"/>
            <w:r w:rsidRPr="0015762A">
              <w:rPr>
                <w:rFonts w:eastAsia="Times New Roman" w:cstheme="minorHAnsi"/>
                <w:b/>
                <w:bCs/>
                <w:color w:val="3F3F3F"/>
              </w:rPr>
              <w:t>expend.-</w:t>
            </w:r>
            <w:proofErr w:type="gramEnd"/>
            <w:r w:rsidRPr="0015762A">
              <w:rPr>
                <w:rFonts w:eastAsia="Times New Roman" w:cstheme="minorHAnsi"/>
                <w:b/>
                <w:bCs/>
                <w:color w:val="3F3F3F"/>
              </w:rPr>
              <w:t>cash dividends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535220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67C7E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DB75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1EB80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54C3C93A" w14:textId="77777777" w:rsidTr="0015762A">
        <w:trPr>
          <w:trHeight w:val="698"/>
        </w:trPr>
        <w:tc>
          <w:tcPr>
            <w:tcW w:w="19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5592F3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6560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75517B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</w:tbl>
    <w:p w14:paraId="68FA00D6" w14:textId="59FF11B8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</w:p>
    <w:p w14:paraId="2957A2FA" w14:textId="4C197BCB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Style w:val="description"/>
          <w:rFonts w:cstheme="minorHAnsi"/>
          <w:color w:val="2D3B45"/>
          <w:shd w:val="clear" w:color="auto" w:fill="FFFFFF"/>
        </w:rPr>
        <w:t>Profitability Ratios</w:t>
      </w:r>
    </w:p>
    <w:tbl>
      <w:tblPr>
        <w:tblW w:w="9661" w:type="dxa"/>
        <w:tblLook w:val="04A0" w:firstRow="1" w:lastRow="0" w:firstColumn="1" w:lastColumn="0" w:noHBand="0" w:noVBand="1"/>
      </w:tblPr>
      <w:tblGrid>
        <w:gridCol w:w="4310"/>
        <w:gridCol w:w="1667"/>
        <w:gridCol w:w="1667"/>
        <w:gridCol w:w="1262"/>
        <w:gridCol w:w="976"/>
      </w:tblGrid>
      <w:tr w:rsidR="0015762A" w:rsidRPr="0015762A" w14:paraId="5465FA9D" w14:textId="77777777" w:rsidTr="0015762A">
        <w:trPr>
          <w:trHeight w:val="300"/>
        </w:trPr>
        <w:tc>
          <w:tcPr>
            <w:tcW w:w="966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521E6C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Profitability Ratios</w:t>
            </w:r>
          </w:p>
        </w:tc>
      </w:tr>
      <w:tr w:rsidR="0015762A" w:rsidRPr="0015762A" w14:paraId="52C8AF55" w14:textId="77777777" w:rsidTr="0015762A">
        <w:trPr>
          <w:trHeight w:val="6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4C351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Fiscal year ended: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19EC92A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3984777" w14:textId="77777777" w:rsidR="0015762A" w:rsidRPr="0015762A" w:rsidRDefault="0015762A" w:rsidP="0015762A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3FAA022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Competitor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0DE1497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Industry Average</w:t>
            </w:r>
          </w:p>
        </w:tc>
      </w:tr>
      <w:tr w:rsidR="0015762A" w:rsidRPr="0015762A" w14:paraId="2580D1DB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77FB3ED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Earnings per share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NI - Preferred dividends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Weighted avg com. shares out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A6E50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9ADCB8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B65257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5A83D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35E6A70A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FF96F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D4FB52F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36F65E3B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CA2F1B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Price-earnings ratio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market price per share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earnings per share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20C7F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A3FC3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0F874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C5526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73D4201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489D51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C10DDA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52E2F50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41A0A1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Gross profit rate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gross profit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sales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01D32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     0.48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0E148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     0.47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36299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0.70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AE6D96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727F4C44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7D9D81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B42F35F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5931A556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89DB4D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Profit margin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income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sales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2FFB9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     0.32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D4AFD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     0.30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BBEF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(0.12)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E8A42CE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7D441CE2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0A0BF8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E0EF2C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0974F5E6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915094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lastRenderedPageBreak/>
              <w:t>Return on assets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income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avg total assets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10E5E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     0.69 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504F84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          0.52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07662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 xml:space="preserve">               0.06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E7A36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12112B3C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70A2A9B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C11630A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487A274C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7B463E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Asset turnover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sales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average total assets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697D3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F5A130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35921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326C86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B957F7A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1142678D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B8B5700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98FB72C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61485B6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Payout ratio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cash dividends declared on CS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net income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E7C12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E9F897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2F2A99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26220C3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5CE0752A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4973071F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E51EEE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0DDD029" w14:textId="77777777" w:rsidTr="0015762A">
        <w:trPr>
          <w:trHeight w:val="9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29FBAAE5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Return on CS equity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NI - preferred dividends</w:t>
            </w:r>
            <w:r w:rsidRPr="0015762A">
              <w:rPr>
                <w:rFonts w:eastAsia="Times New Roman" w:cstheme="minorHAnsi"/>
                <w:b/>
                <w:bCs/>
                <w:color w:val="3F3F3F"/>
              </w:rPr>
              <w:br/>
              <w:t>avg CS equity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D7D67A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14BE482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8A0F11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70CFB8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  <w:tr w:rsidR="0015762A" w:rsidRPr="0015762A" w14:paraId="62EA98FD" w14:textId="77777777" w:rsidTr="0015762A">
        <w:trPr>
          <w:trHeight w:val="300"/>
        </w:trPr>
        <w:tc>
          <w:tcPr>
            <w:tcW w:w="431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14:paraId="38879AB9" w14:textId="77777777" w:rsidR="0015762A" w:rsidRPr="0015762A" w:rsidRDefault="0015762A" w:rsidP="0015762A">
            <w:pPr>
              <w:spacing w:after="0" w:line="240" w:lineRule="auto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Evaluation</w:t>
            </w:r>
          </w:p>
        </w:tc>
        <w:tc>
          <w:tcPr>
            <w:tcW w:w="5351" w:type="dxa"/>
            <w:gridSpan w:val="4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477F47" w14:textId="77777777" w:rsidR="0015762A" w:rsidRPr="0015762A" w:rsidRDefault="0015762A" w:rsidP="0015762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F3F3F"/>
              </w:rPr>
            </w:pPr>
            <w:r w:rsidRPr="0015762A">
              <w:rPr>
                <w:rFonts w:eastAsia="Times New Roman" w:cstheme="minorHAnsi"/>
                <w:b/>
                <w:bCs/>
                <w:color w:val="3F3F3F"/>
              </w:rPr>
              <w:t> </w:t>
            </w:r>
          </w:p>
        </w:tc>
      </w:tr>
    </w:tbl>
    <w:p w14:paraId="0B25D735" w14:textId="77777777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</w:p>
    <w:p w14:paraId="781CD8D8" w14:textId="0D85EEFF" w:rsidR="00BB553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2D3B45"/>
          <w:shd w:val="clear" w:color="auto" w:fill="FFFFFF"/>
        </w:rPr>
        <w:t>Company background and relevant industry</w:t>
      </w:r>
    </w:p>
    <w:p w14:paraId="2DC77944" w14:textId="4E4FC7F5" w:rsidR="0015762A" w:rsidRPr="00256726" w:rsidRDefault="006C323F" w:rsidP="00805737">
      <w:pPr>
        <w:pStyle w:val="ListParagraph"/>
        <w:numPr>
          <w:ilvl w:val="0"/>
          <w:numId w:val="1"/>
        </w:num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b/>
          <w:bCs/>
          <w:color w:val="2D3B45"/>
          <w:shd w:val="clear" w:color="auto" w:fill="FFFFFF"/>
        </w:rPr>
        <w:t>Current relevant industry</w:t>
      </w:r>
      <w:r w:rsidRPr="00256726">
        <w:rPr>
          <w:rFonts w:cstheme="minorHAnsi"/>
          <w:color w:val="2D3B45"/>
          <w:shd w:val="clear" w:color="auto" w:fill="FFFFFF"/>
        </w:rPr>
        <w:t xml:space="preserve">: 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C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ommunications and 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I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nformation 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T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echnology</w:t>
      </w:r>
      <w:r w:rsidR="00256726"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="00256726"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The ICT sector combines manufacturing and services industries whose products primarily enable the function of information processing and communication </w:t>
      </w:r>
      <w:r w:rsidR="003559DA">
        <w:rPr>
          <w:rFonts w:cstheme="minorHAnsi"/>
          <w:color w:val="000000"/>
          <w:sz w:val="20"/>
          <w:szCs w:val="20"/>
          <w:shd w:val="clear" w:color="auto" w:fill="FFFFFF"/>
        </w:rPr>
        <w:t>through electronics</w:t>
      </w:r>
      <w:r w:rsidR="00256726"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, including transmission and display. The ICT sector contributes to technological progress, </w:t>
      </w:r>
      <w:proofErr w:type="gramStart"/>
      <w:r w:rsidR="00256726" w:rsidRPr="00256726">
        <w:rPr>
          <w:rFonts w:cstheme="minorHAnsi"/>
          <w:color w:val="000000"/>
          <w:sz w:val="20"/>
          <w:szCs w:val="20"/>
          <w:shd w:val="clear" w:color="auto" w:fill="FFFFFF"/>
        </w:rPr>
        <w:t>output</w:t>
      </w:r>
      <w:proofErr w:type="gramEnd"/>
      <w:r w:rsidR="00256726"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productivity growth.</w:t>
      </w:r>
    </w:p>
    <w:p w14:paraId="40A000EA" w14:textId="622E1BEE" w:rsidR="00805737" w:rsidRPr="00256726" w:rsidRDefault="00805737" w:rsidP="00805737">
      <w:pPr>
        <w:pStyle w:val="ListParagraph"/>
        <w:numPr>
          <w:ilvl w:val="0"/>
          <w:numId w:val="1"/>
        </w:num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b/>
          <w:bCs/>
          <w:color w:val="2D3B45"/>
          <w:shd w:val="clear" w:color="auto" w:fill="FFFFFF"/>
        </w:rPr>
        <w:t>Background</w:t>
      </w:r>
      <w:r w:rsidRPr="00256726">
        <w:rPr>
          <w:rFonts w:cstheme="minorHAnsi"/>
          <w:color w:val="2D3B45"/>
          <w:shd w:val="clear" w:color="auto" w:fill="FFFFFF"/>
        </w:rPr>
        <w:t xml:space="preserve">: 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Ubiquiti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sell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equipment, and provide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s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related software platforms, worldwide through a network of over 100 distributors, on-line retailers and direct to customers through our webstores. Ubiquiti Inc. is focused on democratizing network technology on a global scale. 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There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devices play a role in creating networking infrastructure in over 200 countries and territories around the world. 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There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professional networking products are powered by </w:t>
      </w:r>
      <w:r w:rsidR="00256726" w:rsidRPr="00256726">
        <w:rPr>
          <w:rFonts w:cstheme="minorHAnsi"/>
          <w:color w:val="000000"/>
          <w:sz w:val="20"/>
          <w:szCs w:val="20"/>
          <w:shd w:val="clear" w:color="auto" w:fill="FFFFFF"/>
        </w:rPr>
        <w:t>their inhouse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UNMS and </w:t>
      </w:r>
      <w:proofErr w:type="spellStart"/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UniFi</w:t>
      </w:r>
      <w:proofErr w:type="spellEnd"/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software platforms to provide high-capacity distributed Internet access and unified information technology management, respectively.</w:t>
      </w:r>
    </w:p>
    <w:p w14:paraId="57827950" w14:textId="457A12E3" w:rsidR="00256726" w:rsidRPr="00256726" w:rsidRDefault="00256726" w:rsidP="00805737">
      <w:pPr>
        <w:pStyle w:val="ListParagraph"/>
        <w:numPr>
          <w:ilvl w:val="0"/>
          <w:numId w:val="1"/>
        </w:num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They</w:t>
      </w:r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target the service provider and enterprise markets through our highly engaged community of service providers, distributors, value added resellers, webstores, systems </w:t>
      </w:r>
      <w:proofErr w:type="gramStart"/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>integrators</w:t>
      </w:r>
      <w:proofErr w:type="gramEnd"/>
      <w:r w:rsidRPr="00256726">
        <w:rPr>
          <w:rFonts w:cstheme="minorHAnsi"/>
          <w:color w:val="000000"/>
          <w:sz w:val="20"/>
          <w:szCs w:val="20"/>
          <w:shd w:val="clear" w:color="auto" w:fill="FFFFFF"/>
        </w:rPr>
        <w:t xml:space="preserve"> and corporate IT professionals, which we refer to as the Ubiquiti Community. We target consumers through digital marketing, including through our webstores, retail chains and, to a lesser extent, the Ubiquiti Community.</w:t>
      </w:r>
    </w:p>
    <w:p w14:paraId="5B6803BC" w14:textId="3E952F84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2D3B45"/>
          <w:shd w:val="clear" w:color="auto" w:fill="FFFFFF"/>
        </w:rPr>
        <w:t>Analysis in support of recommendation</w:t>
      </w:r>
    </w:p>
    <w:p w14:paraId="7C4CA61A" w14:textId="238D3AC5" w:rsidR="0015762A" w:rsidRPr="00217E4C" w:rsidRDefault="0015762A" w:rsidP="00217E4C">
      <w:pPr>
        <w:pStyle w:val="ListParagraph"/>
        <w:numPr>
          <w:ilvl w:val="0"/>
          <w:numId w:val="3"/>
        </w:numPr>
        <w:rPr>
          <w:rFonts w:cstheme="minorHAnsi"/>
          <w:color w:val="2D3B45"/>
          <w:shd w:val="clear" w:color="auto" w:fill="FFFFFF"/>
        </w:rPr>
      </w:pPr>
    </w:p>
    <w:p w14:paraId="7C144CD6" w14:textId="42891603" w:rsidR="0015762A" w:rsidRPr="00256726" w:rsidRDefault="0015762A">
      <w:pPr>
        <w:rPr>
          <w:rFonts w:cstheme="minorHAnsi"/>
          <w:color w:val="2D3B45"/>
          <w:shd w:val="clear" w:color="auto" w:fill="FFFFFF"/>
        </w:rPr>
      </w:pPr>
      <w:r w:rsidRPr="00256726">
        <w:rPr>
          <w:rFonts w:cstheme="minorHAnsi"/>
          <w:color w:val="2D3B45"/>
          <w:shd w:val="clear" w:color="auto" w:fill="FFFFFF"/>
        </w:rPr>
        <w:t>Recommendation</w:t>
      </w:r>
    </w:p>
    <w:p w14:paraId="201E4F94" w14:textId="59165724" w:rsidR="0015762A" w:rsidRPr="00E74A7D" w:rsidRDefault="007970CD" w:rsidP="00217E4C">
      <w:pPr>
        <w:pStyle w:val="ListParagraph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74A7D">
        <w:rPr>
          <w:rFonts w:cstheme="minorHAnsi"/>
          <w:color w:val="000000"/>
          <w:sz w:val="20"/>
          <w:szCs w:val="20"/>
          <w:shd w:val="clear" w:color="auto" w:fill="FFFFFF"/>
        </w:rPr>
        <w:t xml:space="preserve">Although net income and other income is up in the last 3 years the amount of assets that Ubiquiti has gone down in the last 2 years from 2020 to 2021. This could mean that they are not able to </w:t>
      </w:r>
      <w:proofErr w:type="gramStart"/>
      <w:r w:rsidRPr="00E74A7D">
        <w:rPr>
          <w:rFonts w:cstheme="minorHAnsi"/>
          <w:color w:val="000000"/>
          <w:sz w:val="20"/>
          <w:szCs w:val="20"/>
          <w:shd w:val="clear" w:color="auto" w:fill="FFFFFF"/>
        </w:rPr>
        <w:t>continue on</w:t>
      </w:r>
      <w:proofErr w:type="gramEnd"/>
      <w:r w:rsidRPr="00E74A7D">
        <w:rPr>
          <w:rFonts w:cstheme="minorHAnsi"/>
          <w:color w:val="000000"/>
          <w:sz w:val="20"/>
          <w:szCs w:val="20"/>
          <w:shd w:val="clear" w:color="auto" w:fill="FFFFFF"/>
        </w:rPr>
        <w:t xml:space="preserve"> the projected growth that there stock price suggests and means that they are overvalued right now. </w:t>
      </w:r>
      <w:r w:rsidR="00E74A7D" w:rsidRPr="00E74A7D">
        <w:rPr>
          <w:rFonts w:cstheme="minorHAnsi"/>
          <w:color w:val="000000"/>
          <w:sz w:val="20"/>
          <w:szCs w:val="20"/>
          <w:shd w:val="clear" w:color="auto" w:fill="FFFFFF"/>
        </w:rPr>
        <w:t xml:space="preserve">My recommendation is to </w:t>
      </w:r>
      <w:r w:rsidR="00E74A7D" w:rsidRPr="00E74A7D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wait until the stock price comes down</w:t>
      </w:r>
      <w:r w:rsidR="00E74A7D" w:rsidRPr="00E74A7D">
        <w:rPr>
          <w:rFonts w:cstheme="minorHAnsi"/>
          <w:color w:val="000000"/>
          <w:sz w:val="20"/>
          <w:szCs w:val="20"/>
          <w:shd w:val="clear" w:color="auto" w:fill="FFFFFF"/>
        </w:rPr>
        <w:t xml:space="preserve"> to the 240-dollar range where it is no longer on an artificial growth boost from the 2020 to 2021 income numbers. </w:t>
      </w:r>
      <w:r w:rsidR="00E74A7D">
        <w:rPr>
          <w:rFonts w:cstheme="minorHAnsi"/>
          <w:color w:val="000000"/>
          <w:sz w:val="20"/>
          <w:szCs w:val="20"/>
          <w:shd w:val="clear" w:color="auto" w:fill="FFFFFF"/>
        </w:rPr>
        <w:t xml:space="preserve">This company has a good chance to continue to grow through many years but right now for investing purposes it would be best to wait until a </w:t>
      </w:r>
      <w:r w:rsidR="00E74A7D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 xml:space="preserve">lower price and then buy in and hold for years while the company continues its market growth in the industry. </w:t>
      </w:r>
    </w:p>
    <w:p w14:paraId="2D8EBCF7" w14:textId="77777777" w:rsidR="0015762A" w:rsidRPr="00256726" w:rsidRDefault="0015762A">
      <w:pPr>
        <w:rPr>
          <w:rFonts w:cstheme="minorHAnsi"/>
        </w:rPr>
      </w:pPr>
    </w:p>
    <w:sectPr w:rsidR="0015762A" w:rsidRPr="0025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6AF"/>
    <w:multiLevelType w:val="hybridMultilevel"/>
    <w:tmpl w:val="BB1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75084"/>
    <w:multiLevelType w:val="hybridMultilevel"/>
    <w:tmpl w:val="231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119C2"/>
    <w:multiLevelType w:val="hybridMultilevel"/>
    <w:tmpl w:val="E016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0C"/>
    <w:rsid w:val="0015762A"/>
    <w:rsid w:val="00217E4C"/>
    <w:rsid w:val="00256726"/>
    <w:rsid w:val="003559DA"/>
    <w:rsid w:val="006C323F"/>
    <w:rsid w:val="00774817"/>
    <w:rsid w:val="007970CD"/>
    <w:rsid w:val="00805737"/>
    <w:rsid w:val="00B7760C"/>
    <w:rsid w:val="00BB553A"/>
    <w:rsid w:val="00E74A7D"/>
    <w:rsid w:val="00F6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C741"/>
  <w15:chartTrackingRefBased/>
  <w15:docId w15:val="{5BBD1328-CCF2-4A10-87C4-DFEF6E6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15762A"/>
  </w:style>
  <w:style w:type="character" w:customStyle="1" w:styleId="description">
    <w:name w:val="description"/>
    <w:basedOn w:val="DefaultParagraphFont"/>
    <w:rsid w:val="0015762A"/>
  </w:style>
  <w:style w:type="paragraph" w:styleId="Title">
    <w:name w:val="Title"/>
    <w:basedOn w:val="Normal"/>
    <w:next w:val="Normal"/>
    <w:link w:val="TitleChar"/>
    <w:uiPriority w:val="10"/>
    <w:qFormat/>
    <w:rsid w:val="00F611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5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4</cp:revision>
  <dcterms:created xsi:type="dcterms:W3CDTF">2021-12-15T20:33:00Z</dcterms:created>
  <dcterms:modified xsi:type="dcterms:W3CDTF">2021-12-15T21:09:00Z</dcterms:modified>
</cp:coreProperties>
</file>