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 w:line="300" w:lineRule="auto"/>
        <w:jc w:val="center"/>
      </w:pPr>
      <w:r>
        <w:rPr>
          <w:rFonts w:ascii="Calibri" w:hAnsi="Calibri"/>
          <w:b/>
          <w:color w:val="F4B400"/>
          <w:sz w:val="20"/>
        </w:rPr>
        <w:t>CLIENT REFERENCE</w:t>
      </w:r>
    </w:p>
    <w:p>
      <w:pPr>
        <w:spacing w:after="80" w:line="300" w:lineRule="auto"/>
        <w:jc w:val="center"/>
      </w:pPr>
      <w:r>
        <w:rPr>
          <w:rFonts w:ascii="Calibri" w:hAnsi="Calibri"/>
          <w:b/>
          <w:color w:val="0B1F3A"/>
          <w:sz w:val="56"/>
        </w:rPr>
        <w:t>About Us Feature Guide</w:t>
      </w:r>
    </w:p>
    <w:p>
      <w:pPr>
        <w:spacing w:after="360" w:line="300" w:lineRule="auto"/>
        <w:jc w:val="center"/>
      </w:pPr>
      <w:r>
        <w:rPr>
          <w:rFonts w:ascii="Calibri" w:hAnsi="Calibri"/>
          <w:b w:val="0"/>
          <w:color w:val="1D4ED8"/>
          <w:sz w:val="30"/>
        </w:rPr>
        <w:t>Corporate purpose, positioning and core-pillar content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F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0B1F3A"/>
                <w:sz w:val="19"/>
              </w:rPr>
              <w:t xml:space="preserve">Purpose: </w:t>
            </w:r>
            <w:r>
              <w:rPr>
                <w:rFonts w:ascii="Calibri" w:hAnsi="Calibri"/>
                <w:b w:val="0"/>
                <w:color w:val="162235"/>
                <w:sz w:val="19"/>
              </w:rPr>
              <w:t>Explain the client-facing information presented by the About Us header destination.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1. Page access and purpose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c>
          <w:tcPr>
            <w:tcW w:type="dxa" w:w="2600"/>
            <w:shd w:fill="0B1F3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Item</w:t>
            </w:r>
          </w:p>
        </w:tc>
        <w:tc>
          <w:tcPr>
            <w:tcW w:type="dxa" w:w="6760"/>
            <w:shd w:fill="0B1F3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Behaviour</w:t>
            </w:r>
          </w:p>
        </w:tc>
      </w:tr>
      <w:tr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0B1F3A"/>
                <w:sz w:val="19"/>
              </w:rPr>
              <w:t>Header link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62235"/>
                <w:sz w:val="19"/>
              </w:rPr>
              <w:t>About Us opens /about without requiring sign-in.</w:t>
            </w:r>
          </w:p>
        </w:tc>
      </w:tr>
      <w:tr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0B1F3A"/>
                <w:sz w:val="19"/>
              </w:rPr>
              <w:t>Page metadata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62235"/>
                <w:sz w:val="19"/>
              </w:rPr>
              <w:t>Identifies the page as About Us | GulfInfraHub and describes GCC construction/industrial connectivity.</w:t>
            </w:r>
          </w:p>
        </w:tc>
      </w:tr>
      <w:tr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0B1F3A"/>
                <w:sz w:val="19"/>
              </w:rPr>
              <w:t>Audience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62235"/>
                <w:sz w:val="19"/>
              </w:rPr>
              <w:t>Buyers, contractors, suppliers, project owners, investors and business partners evaluating the platform.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2. Hero message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c>
          <w:tcPr>
            <w:tcW w:type="dxa" w:w="2600"/>
            <w:shd w:fill="0B1F3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Item</w:t>
            </w:r>
          </w:p>
        </w:tc>
        <w:tc>
          <w:tcPr>
            <w:tcW w:type="dxa" w:w="6760"/>
            <w:shd w:fill="0B1F3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Behaviour</w:t>
            </w:r>
          </w:p>
        </w:tc>
      </w:tr>
      <w:tr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0B1F3A"/>
                <w:sz w:val="19"/>
              </w:rPr>
              <w:t>Positioning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62235"/>
                <w:sz w:val="19"/>
              </w:rPr>
              <w:t>Built for the Gulf.</w:t>
            </w:r>
          </w:p>
        </w:tc>
      </w:tr>
      <w:tr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0B1F3A"/>
                <w:sz w:val="19"/>
              </w:rPr>
              <w:t>Identity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62235"/>
                <w:sz w:val="19"/>
              </w:rPr>
              <w:t>About GulfInfraHub.</w:t>
            </w:r>
          </w:p>
        </w:tc>
      </w:tr>
      <w:tr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0B1F3A"/>
                <w:sz w:val="19"/>
              </w:rPr>
              <w:t>Timeline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62235"/>
                <w:sz w:val="19"/>
              </w:rPr>
              <w:t>Facilitating industrial connections and construction sourcing across GCC markets since 2026.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3. Our purpose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c>
          <w:tcPr>
            <w:tcW w:type="dxa" w:w="2600"/>
            <w:shd w:fill="0B1F3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Item</w:t>
            </w:r>
          </w:p>
        </w:tc>
        <w:tc>
          <w:tcPr>
            <w:tcW w:type="dxa" w:w="6760"/>
            <w:shd w:fill="0B1F3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Behaviour</w:t>
            </w:r>
          </w:p>
        </w:tc>
      </w:tr>
      <w:tr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0B1F3A"/>
                <w:sz w:val="19"/>
              </w:rPr>
              <w:t>Problem addressed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62235"/>
                <w:sz w:val="19"/>
              </w:rPr>
              <w:t>Visibility problems in Gulf construction supply chains.</w:t>
            </w:r>
          </w:p>
        </w:tc>
      </w:tr>
      <w:tr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0B1F3A"/>
                <w:sz w:val="19"/>
              </w:rPr>
              <w:t>Regional scope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62235"/>
                <w:sz w:val="19"/>
              </w:rPr>
              <w:t>Saudi Arabia, UAE, Qatar, Kuwait, Oman and Bahrain.</w:t>
            </w:r>
          </w:p>
        </w:tc>
      </w:tr>
      <w:tr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0B1F3A"/>
                <w:sz w:val="19"/>
              </w:rPr>
              <w:t>Industry need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62235"/>
                <w:sz w:val="19"/>
              </w:rPr>
              <w:t>Regulatory data, pre-qualifications and dynamic quotation tools for heavy civil and industrial procurement.</w:t>
            </w:r>
          </w:p>
        </w:tc>
      </w:tr>
      <w:tr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0B1F3A"/>
                <w:sz w:val="19"/>
              </w:rPr>
              <w:t>Platform response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62235"/>
                <w:sz w:val="19"/>
              </w:rPr>
              <w:t>Structured directories, tender publishing, RFQ routing and heavy-machinery catalogues in one platform.</w:t>
            </w:r>
          </w:p>
        </w:tc>
      </w:tr>
      <w:tr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0B1F3A"/>
                <w:sz w:val="19"/>
              </w:rPr>
              <w:t>Intended outcome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62235"/>
                <w:sz w:val="19"/>
              </w:rPr>
              <w:t>Enable engineering decision-makers to audit credentials and discover partners faster.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4. Core corporate pillars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c>
          <w:tcPr>
            <w:tcW w:type="dxa" w:w="2600"/>
            <w:shd w:fill="0B1F3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Item</w:t>
            </w:r>
          </w:p>
        </w:tc>
        <w:tc>
          <w:tcPr>
            <w:tcW w:type="dxa" w:w="6760"/>
            <w:shd w:fill="0B1F3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Behaviour</w:t>
            </w:r>
          </w:p>
        </w:tc>
      </w:tr>
      <w:tr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0B1F3A"/>
                <w:sz w:val="19"/>
              </w:rPr>
              <w:t>Compliance Verification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62235"/>
                <w:sz w:val="19"/>
              </w:rPr>
              <w:t>Work toward checking matching, active Commercial Registration records.</w:t>
            </w:r>
          </w:p>
        </w:tc>
      </w:tr>
      <w:tr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0B1F3A"/>
                <w:sz w:val="19"/>
              </w:rPr>
              <w:t>RFQ Sourcing Velocity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62235"/>
                <w:sz w:val="19"/>
              </w:rPr>
              <w:t>Goal of reducing tender-pricing collection cycles from weeks to under 48 hours.</w:t>
            </w:r>
          </w:p>
        </w:tc>
      </w:tr>
      <w:tr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0B1F3A"/>
                <w:sz w:val="19"/>
              </w:rPr>
              <w:t>Local GCC Expertise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62235"/>
                <w:sz w:val="19"/>
              </w:rPr>
              <w:t>Awareness of bidding thresholds, customs rules and country-specific construction specifications.</w:t>
            </w:r>
          </w:p>
        </w:tc>
      </w:tr>
      <w:tr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0B1F3A"/>
                <w:sz w:val="19"/>
              </w:rPr>
              <w:t>Secure Communication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62235"/>
                <w:sz w:val="19"/>
              </w:rPr>
              <w:t>Matching interfaces for confidential commercial and engineering documents.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5. Client interpretation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c>
          <w:tcPr>
            <w:tcW w:type="dxa" w:w="2600"/>
            <w:shd w:fill="0B1F3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Item</w:t>
            </w:r>
          </w:p>
        </w:tc>
        <w:tc>
          <w:tcPr>
            <w:tcW w:type="dxa" w:w="6760"/>
            <w:shd w:fill="0B1F3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Behaviour</w:t>
            </w:r>
          </w:p>
        </w:tc>
      </w:tr>
      <w:tr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0B1F3A"/>
                <w:sz w:val="19"/>
              </w:rPr>
              <w:t>Informational page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62235"/>
                <w:sz w:val="19"/>
              </w:rPr>
              <w:t>The page communicates platform purpose; it does not itself submit a listing or RFQ.</w:t>
            </w:r>
          </w:p>
        </w:tc>
      </w:tr>
      <w:tr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0B1F3A"/>
                <w:sz w:val="19"/>
              </w:rPr>
              <w:t>Claims wording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62235"/>
                <w:sz w:val="19"/>
              </w:rPr>
              <w:t>Verification and speed statements are framed as working practices/goals in the implemented copy.</w:t>
            </w:r>
          </w:p>
        </w:tc>
      </w:tr>
      <w:tr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0B1F3A"/>
                <w:sz w:val="19"/>
              </w:rPr>
              <w:t>Next actions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62235"/>
                <w:sz w:val="19"/>
              </w:rPr>
              <w:t>Users continue through header links to directories, RFQs, Add Listing or Contact Us.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color w:val="64748B"/>
        <w:sz w:val="17"/>
      </w:rPr>
      <w:t xml:space="preserve">Client reference  •  August 2026  |  </w:t>
    </w:r>
    <w:r>
      <w:rPr>
        <w:rFonts w:ascii="Calibri" w:hAnsi="Calibri"/>
        <w:b w:val="0"/>
        <w:color w:val="64748B"/>
        <w:sz w:val="17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color w:val="64748B"/>
        <w:sz w:val="17"/>
      </w:rPr>
      <w:t>GulfInfraHub  |  About Us Feature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16223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1D4ED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1D4ED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