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  <w:jc w:val="center"/>
      </w:pPr>
      <w:r>
        <w:rPr>
          <w:rFonts w:ascii="Calibri" w:hAnsi="Calibri"/>
          <w:b/>
          <w:color w:val="F4B400"/>
          <w:sz w:val="20"/>
        </w:rPr>
        <w:t>CLIENT REFERENCE</w:t>
      </w:r>
    </w:p>
    <w:p>
      <w:pPr>
        <w:spacing w:after="80" w:line="300" w:lineRule="auto"/>
        <w:jc w:val="center"/>
      </w:pPr>
      <w:r>
        <w:rPr>
          <w:rFonts w:ascii="Calibri" w:hAnsi="Calibri"/>
          <w:b/>
          <w:color w:val="0B1F3A"/>
          <w:sz w:val="56"/>
        </w:rPr>
        <w:t>Login &amp; Registration Feature Guide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color w:val="1D4ED8"/>
          <w:sz w:val="30"/>
        </w:rPr>
        <w:t>Email OTP, password access, session and recovery workflows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Purpose: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Explain how visitors create an account, verify email, sign in, recover access and reach role-specific destinations.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Entry and redirect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Header link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Login / Register opens /login.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Existing session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 signed-in user is redirected to /admin for an administrator or /my-listings for a standard user.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Methods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Email verification code or existing password.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New account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An email-first OTP flow creates the user record when necessary.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Email-code sign-in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Email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Must use a valid address.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Rate limit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One code request per email/purpose per minute.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Code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Four numeric digits.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Expiry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10 minutes.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Attempts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Five failed attempts require a new code.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Success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Marks email verified, creates a session and continues to password creation for a new account.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Password registration and login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New password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At least eight characters with at least one letter and one number.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Confirmation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Must exactly match.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Password login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Existing users may switch to email/password; invalid credentials return a generic error.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Destination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Administrator → /admin; standard user → /my-listings.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Password recovery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Forgot password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Login provides /forgot-password.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Reset link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The user follows an emailed token to /reset-password.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Invalid link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The reset page explicitly reports a missing/invalid token.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New password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Uses the application’s password-strength and confirmation rules.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Session and security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Cookie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HTTP-only session cookie; Secure in production; SameSite Lax.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Lifetime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30 days unless removed/expired.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Storage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Only a hash of the random session token is stored.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Logout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Deletes the server session, clears the cookie and returns to the homepage.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Blocked accounts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Authentication may still identify the user, but protected business mutations enforce blocked-account restrictions.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Account destinations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My Listings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Owned marketplace listings.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My RFQs / My Quotations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Buyer and supplier procurement workspaces.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Saved Listings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Bookmarked marketplace records.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Applications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Project/tender participation records.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Admin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Role-restricted administration area.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4748B"/>
        <w:sz w:val="17"/>
      </w:rPr>
      <w:t xml:space="preserve">Client reference  •  August 2026  |  </w:t>
    </w:r>
    <w:r>
      <w:rPr>
        <w:rFonts w:ascii="Calibri" w:hAnsi="Calibri"/>
        <w:b w:val="0"/>
        <w:color w:val="64748B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GulfInfraHub  |  Login &amp; Registration Feature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2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