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Instrumento particular de compra e venda de equipamentos de TI</w:t>
      </w:r>
    </w:p>
    <w:p>
      <w:pPr>
        <w:pStyle w:val="Subtitle"/>
      </w:pPr>
      <w:r>
        <w:t>Contrato nº CT-2025-047 | Versão de trabalho 1.3 | 18 de novembro de 2025</w:t>
      </w:r>
    </w:p>
    <w:p>
      <w:r>
        <w:t>DOCUMENTO FICTÍCIO • EXCLUSIVAMENTE DIDÁTICO • NÃO UTILIZAR EM TRANSAÇÕES REAIS</w:t>
      </w:r>
    </w:p>
    <w:p>
      <w:pPr>
        <w:pStyle w:val="Heading1"/>
      </w:pPr>
      <w:r>
        <w:t>1. Partes</w:t>
      </w:r>
    </w:p>
    <w:p>
      <w:r>
        <w:t>VENDEDORA: TecnoVale Equipamentos Ltda., sociedade empresária fictícia, CNPJ didático 00.000.000/0001-00, representada por Ana Ribeiro. COMPRADORA: Contoso Brasil Serviços Corporativos Ltda., sociedade empresária fictícia, CNPJ didático 11.111.111/0001-11, representada por Marcelo Nunes. Dados de identificação são simulados e não devem ser usados em instrumentos reais.</w:t>
      </w:r>
    </w:p>
    <w:p>
      <w:pPr>
        <w:pStyle w:val="Heading1"/>
      </w:pPr>
      <w:r>
        <w:t>2. Objeto</w:t>
      </w:r>
    </w:p>
    <w:p>
      <w:r>
        <w:t>A VENDEDORA se compromete a fornecer à COMPRADORA os equipamentos abaixo relacionados, novos e sem uso, acompanhados de notas fiscais e documentação técnica. Os preços incluem impostos incidentes sobre a venda, mas os custos de frete serão tratados na cláusula 5.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Preço unitário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Notebook corporativo 14”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R$ 5.200,00</w:t>
            </w:r>
          </w:p>
        </w:tc>
        <w:tc>
          <w:tcPr>
            <w:tcW w:type="dxa" w:w="2160"/>
          </w:tcPr>
          <w:p>
            <w:r>
              <w:t>R$ 104.000,00</w:t>
            </w:r>
          </w:p>
        </w:tc>
      </w:tr>
      <w:tr>
        <w:tc>
          <w:tcPr>
            <w:tcW w:type="dxa" w:w="2160"/>
          </w:tcPr>
          <w:p>
            <w:r>
              <w:t>Monitor 27”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R$ 1.350,00</w:t>
            </w:r>
          </w:p>
        </w:tc>
        <w:tc>
          <w:tcPr>
            <w:tcW w:type="dxa" w:w="2160"/>
          </w:tcPr>
          <w:p>
            <w:r>
              <w:t>R$ 27.000,00</w:t>
            </w:r>
          </w:p>
        </w:tc>
      </w:tr>
      <w:tr>
        <w:tc>
          <w:tcPr>
            <w:tcW w:type="dxa" w:w="2160"/>
          </w:tcPr>
          <w:p>
            <w:r>
              <w:t>Dock USB-C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R$ 650,00</w:t>
            </w:r>
          </w:p>
        </w:tc>
        <w:tc>
          <w:tcPr>
            <w:tcW w:type="dxa" w:w="2160"/>
          </w:tcPr>
          <w:p>
            <w:r>
              <w:t>R$ 13.000,00</w:t>
            </w:r>
          </w:p>
        </w:tc>
      </w:tr>
      <w:tr>
        <w:tc>
          <w:tcPr>
            <w:tcW w:type="dxa" w:w="2160"/>
          </w:tcPr>
          <w:p>
            <w:r>
              <w:t>Servidor rack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R$ 28.000,00</w:t>
            </w:r>
          </w:p>
        </w:tc>
        <w:tc>
          <w:tcPr>
            <w:tcW w:type="dxa" w:w="2160"/>
          </w:tcPr>
          <w:p>
            <w:r>
              <w:t>R$ 56.000,00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R$ 200.000,00</w:t>
            </w:r>
          </w:p>
        </w:tc>
      </w:tr>
    </w:tbl>
    <w:p>
      <w:pPr>
        <w:pStyle w:val="Heading1"/>
      </w:pPr>
      <w:r>
        <w:t>3. Preço e forma de pagamento</w:t>
      </w:r>
    </w:p>
    <w:p>
      <w:r>
        <w:t>O preço global ajustado é de R$ 200.000,00 (duzentos mil reais). O pagamento será feito em três parcelas: 30% na assinatura (R$ 60.000,00), 40% na confirmação do despacho (R$ 80.000,00) e 30% após o aceite (R$ 65.000,00). A nota fiscal da terceira parcela deverá ser encaminhada até cinco dias úteis após o aceite.</w:t>
      </w:r>
    </w:p>
    <w:p>
      <w:pPr>
        <w:pStyle w:val="Heading1"/>
      </w:pPr>
      <w:r>
        <w:t>4. Entrega e aceite</w:t>
      </w:r>
    </w:p>
    <w:p>
      <w:r>
        <w:t>Os equipamentos serão entregues no centro operacional da COMPRADORA em São Paulo/SP até 15 de dezembro de 2025. A inspeção física deverá ocorrer em até 10 dias úteis após a entrega; a ausência de manifestação nesse prazo será considerada aceite tácito. O aceite depende da verificação das quantidades, especificações e integridade física.</w:t>
      </w:r>
    </w:p>
    <w:p>
      <w:pPr>
        <w:pStyle w:val="Heading1"/>
      </w:pPr>
      <w:r>
        <w:t>5. Frete e riscos</w:t>
      </w:r>
    </w:p>
    <w:p>
      <w:r>
        <w:t>O frete de R$ 8.500,00 será pago pela COMPRADORA, além do preço global da cláusula 3. A responsabilidade por perda ou dano será transferida à COMPRADORA a partir da emissão da nota fiscal, ainda que o transporte permaneça sob gestão da VENDEDORA.</w:t>
      </w:r>
    </w:p>
    <w:p>
      <w:pPr>
        <w:pStyle w:val="Heading1"/>
      </w:pPr>
      <w:r>
        <w:t>6. Garantia e suporte</w:t>
      </w:r>
    </w:p>
    <w:p>
      <w:r>
        <w:t>A garantia contratual dos notebooks, monitores e docks será de 12 meses contados da emissão da nota fiscal. Para os servidores, a garantia será de 36 meses contados do recebimento. O atendimento deverá ocorrer em prazo razoável, com atendimento prioritário para falhas críticas, sem definição de horário de suporte ou prazo máximo de solução.</w:t>
      </w:r>
    </w:p>
    <w:p>
      <w:pPr>
        <w:pStyle w:val="Heading1"/>
      </w:pPr>
      <w:r>
        <w:t>7. Atraso e penalidades</w:t>
      </w:r>
    </w:p>
    <w:p>
      <w:r>
        <w:t>Em caso de atraso na entrega, a VENDEDORA pagará multa de 2% por dia sobre o valor total do contrato, limitada a 10% do valor global. A COMPRADORA poderá rescindir imediatamente o instrumento diante de qualquer atraso, sem necessidade de notificação.</w:t>
      </w:r>
    </w:p>
    <w:p>
      <w:pPr>
        <w:pStyle w:val="Heading1"/>
      </w:pPr>
      <w:r>
        <w:t>8. Rescisão</w:t>
      </w:r>
    </w:p>
    <w:p>
      <w:r>
        <w:t>Qualquer das partes poderá rescindir o contrato mediante comunicação por escrito com antecedência de 30 dias. Em casos de descumprimento grave, poderá ser concedido prazo de 15 dias para saneamento, a critério exclusivo da parte prejudicada. As disposições desta cláusula deverão ser interpretadas em conjunto com a cláusula 7.</w:t>
      </w:r>
    </w:p>
    <w:p>
      <w:pPr>
        <w:pStyle w:val="Heading1"/>
      </w:pPr>
      <w:r>
        <w:t>9. Confidencialidade e dados</w:t>
      </w:r>
    </w:p>
    <w:p>
      <w:r>
        <w:t>As partes deverão preservar o sigilo de informações comerciais e técnicas obtidas durante a execução. Havendo acesso a dados pessoais, deverá ser firmado instrumento específico para definir papéis, medidas de segurança e obrigações, quando aplicável. Não há previsão de tratamento de dados pessoais como objeto principal da compra e venda.</w:t>
      </w:r>
    </w:p>
    <w:p>
      <w:pPr>
        <w:pStyle w:val="Heading1"/>
      </w:pPr>
      <w:r>
        <w:t>10. Foro e formalização</w:t>
      </w:r>
    </w:p>
    <w:p>
      <w:r>
        <w:t>As partes elegem o foro da Comarca de São Paulo/SP para dirimir controvérsias, observada a legislação aplicável. Este documento é versão didática de trabalho: não contém assinaturas reais nem representa recomendação jurídica. Assinaturas fictícias: Ana Ribeiro (VENDEDORA); Marcelo Nunes (COMPRADORA).</w:t>
      </w:r>
    </w:p>
    <w:p>
      <w:pPr>
        <w:pStyle w:val="Heading1"/>
      </w:pPr>
      <w:r>
        <w:t>Anexo A — Pontos de atenção para revisão interna</w:t>
      </w:r>
    </w:p>
    <w:p>
      <w:r>
        <w:t>As partes discutem incluir um cronograma de homologação técnica, inventário com número de série, critérios objetivos de aceite e tratamento das divergências de preços e prazos. Nenhuma das propostas deste anexo está aprovada até que seja incorporada à versão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Laboratório Microsoft 365 Copilot no Word | Professor Eduardo Popovici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CONTOSO BRASIL  |  MATERIAL FICTÍCIO PARA TREINAMENTO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