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ações e desempenho operacional</w:t>
      </w:r>
    </w:p>
    <w:p>
      <w:pPr>
        <w:pStyle w:val="Subtitle"/>
      </w:pPr>
      <w:r>
        <w:t>Projeto Integra 2025 | Período: julho a dezembro de 2025 | Emitido em 12 de janeiro de 2026</w:t>
      </w:r>
    </w:p>
    <w:p>
      <w:r>
        <w:t>DOCUMENTO FICTÍCIO • EXCLUSIVAMENTE DIDÁTICO • NÃO UTILIZAR EM TRANSAÇÕES REAIS</w:t>
      </w:r>
    </w:p>
    <w:p>
      <w:pPr>
        <w:pStyle w:val="Heading1"/>
      </w:pPr>
      <w:r>
        <w:t>1. Sumário executivo</w:t>
      </w:r>
    </w:p>
    <w:p>
      <w:r>
        <w:t>O Projeto Integra 2025 teve por objetivo padronizar a gestão de ativos e aprimorar o acompanhamento das solicitações de serviços de TI. O orçamento aprovado foi de R$ 480.000,00. O gasto consolidado informado pela equipe foi de R$ 512.500,00. Durante o segundo semestre, o prazo médio de atendimento caiu de 7,2 para 4,8 dias, mas o programa ainda apresenta riscos de execução e documentação.</w:t>
      </w:r>
    </w:p>
    <w:p>
      <w:pPr>
        <w:pStyle w:val="Heading1"/>
      </w:pPr>
      <w:r>
        <w:t>2. Metas e indicadores</w:t>
      </w:r>
    </w:p>
    <w:p>
      <w:r>
        <w:t>As metas aprovadas foram: inventariar 95% dos equipamentos, reduzir o prazo médio de atendimento a menos de 5 dias, capacitar 80 colaboradores e manter execução financeira até o teto de R$ 480 mil. Os dados abaixo foram consolidados de fontes internas fictícias e precisam de validação antes de apresentação externa.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Meta</w:t>
            </w:r>
          </w:p>
        </w:tc>
        <w:tc>
          <w:tcPr>
            <w:tcW w:type="dxa" w:w="2160"/>
          </w:tcPr>
          <w:p>
            <w:r>
              <w:t>Realizado</w:t>
            </w:r>
          </w:p>
        </w:tc>
        <w:tc>
          <w:tcPr>
            <w:tcW w:type="dxa" w:w="2160"/>
          </w:tcPr>
          <w:p>
            <w:r>
              <w:t>Status preliminar</w:t>
            </w:r>
          </w:p>
        </w:tc>
      </w:tr>
      <w:tr>
        <w:tc>
          <w:tcPr>
            <w:tcW w:type="dxa" w:w="2160"/>
          </w:tcPr>
          <w:p>
            <w:r>
              <w:t>Cobertura do inventário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Abaixo</w:t>
            </w:r>
          </w:p>
        </w:tc>
      </w:tr>
      <w:tr>
        <w:tc>
          <w:tcPr>
            <w:tcW w:type="dxa" w:w="2160"/>
          </w:tcPr>
          <w:p>
            <w:r>
              <w:t>Prazo médio de atendimento</w:t>
            </w:r>
          </w:p>
        </w:tc>
        <w:tc>
          <w:tcPr>
            <w:tcW w:type="dxa" w:w="2160"/>
          </w:tcPr>
          <w:p>
            <w:r>
              <w:t>&lt; 5 dias</w:t>
            </w:r>
          </w:p>
        </w:tc>
        <w:tc>
          <w:tcPr>
            <w:tcW w:type="dxa" w:w="2160"/>
          </w:tcPr>
          <w:p>
            <w:r>
              <w:t>4,8 dias</w:t>
            </w:r>
          </w:p>
        </w:tc>
        <w:tc>
          <w:tcPr>
            <w:tcW w:type="dxa" w:w="2160"/>
          </w:tcPr>
          <w:p>
            <w:r>
              <w:t>Atingido</w:t>
            </w:r>
          </w:p>
        </w:tc>
      </w:tr>
      <w:tr>
        <w:tc>
          <w:tcPr>
            <w:tcW w:type="dxa" w:w="2160"/>
          </w:tcPr>
          <w:p>
            <w:r>
              <w:t>Colaboradores capacitados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Atingido</w:t>
            </w:r>
          </w:p>
        </w:tc>
      </w:tr>
      <w:tr>
        <w:tc>
          <w:tcPr>
            <w:tcW w:type="dxa" w:w="2160"/>
          </w:tcPr>
          <w:p>
            <w:r>
              <w:t>Execução do orçamento</w:t>
            </w:r>
          </w:p>
        </w:tc>
        <w:tc>
          <w:tcPr>
            <w:tcW w:type="dxa" w:w="2160"/>
          </w:tcPr>
          <w:p>
            <w:r>
              <w:t>Até R$ 480.000</w:t>
            </w:r>
          </w:p>
        </w:tc>
        <w:tc>
          <w:tcPr>
            <w:tcW w:type="dxa" w:w="2160"/>
          </w:tcPr>
          <w:p>
            <w:r>
              <w:t>R$ 512.500</w:t>
            </w:r>
          </w:p>
        </w:tc>
        <w:tc>
          <w:tcPr>
            <w:tcW w:type="dxa" w:w="2160"/>
          </w:tcPr>
          <w:p>
            <w:r>
              <w:t>Acima</w:t>
            </w:r>
          </w:p>
        </w:tc>
      </w:tr>
      <w:tr>
        <w:tc>
          <w:tcPr>
            <w:tcW w:type="dxa" w:w="2160"/>
          </w:tcPr>
          <w:p>
            <w:r>
              <w:t>Chamados reabertos</w:t>
            </w:r>
          </w:p>
        </w:tc>
        <w:tc>
          <w:tcPr>
            <w:tcW w:type="dxa" w:w="2160"/>
          </w:tcPr>
          <w:p>
            <w:r>
              <w:t>&lt; 8%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  <w:tc>
          <w:tcPr>
            <w:tcW w:type="dxa" w:w="2160"/>
          </w:tcPr>
          <w:p>
            <w:r>
              <w:t>Abaixo</w:t>
            </w:r>
          </w:p>
        </w:tc>
      </w:tr>
    </w:tbl>
    <w:p>
      <w:pPr>
        <w:pStyle w:val="Heading1"/>
      </w:pPr>
      <w:r>
        <w:t>3. Execução financeira por frente</w:t>
      </w:r>
    </w:p>
    <w:p>
      <w:r>
        <w:t>A classificação financeira foi enviada pelas equipes e pode conter categorias agregadas. O total da tabela deve ser comparado ao valor informado no resumo executivo.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Frente</w:t>
            </w:r>
          </w:p>
        </w:tc>
        <w:tc>
          <w:tcPr>
            <w:tcW w:type="dxa" w:w="2880"/>
          </w:tcPr>
          <w:p>
            <w:r>
              <w:t>Orçamento (R$)</w:t>
            </w:r>
          </w:p>
        </w:tc>
        <w:tc>
          <w:tcPr>
            <w:tcW w:type="dxa" w:w="2880"/>
          </w:tcPr>
          <w:p>
            <w:r>
              <w:t>Realizado (R$)</w:t>
            </w:r>
          </w:p>
        </w:tc>
      </w:tr>
      <w:tr>
        <w:tc>
          <w:tcPr>
            <w:tcW w:type="dxa" w:w="2880"/>
          </w:tcPr>
          <w:p>
            <w:r>
              <w:t>Infraestrutura</w:t>
            </w:r>
          </w:p>
        </w:tc>
        <w:tc>
          <w:tcPr>
            <w:tcW w:type="dxa" w:w="2880"/>
          </w:tcPr>
          <w:p>
            <w:r>
              <w:t>180.000</w:t>
            </w:r>
          </w:p>
        </w:tc>
        <w:tc>
          <w:tcPr>
            <w:tcW w:type="dxa" w:w="2880"/>
          </w:tcPr>
          <w:p>
            <w:r>
              <w:t>196.000</w:t>
            </w:r>
          </w:p>
        </w:tc>
      </w:tr>
      <w:tr>
        <w:tc>
          <w:tcPr>
            <w:tcW w:type="dxa" w:w="2880"/>
          </w:tcPr>
          <w:p>
            <w:r>
              <w:t>Treinamento</w:t>
            </w:r>
          </w:p>
        </w:tc>
        <w:tc>
          <w:tcPr>
            <w:tcW w:type="dxa" w:w="2880"/>
          </w:tcPr>
          <w:p>
            <w:r>
              <w:t>70.000</w:t>
            </w:r>
          </w:p>
        </w:tc>
        <w:tc>
          <w:tcPr>
            <w:tcW w:type="dxa" w:w="2880"/>
          </w:tcPr>
          <w:p>
            <w:r>
              <w:t>66.000</w:t>
            </w:r>
          </w:p>
        </w:tc>
      </w:tr>
      <w:tr>
        <w:tc>
          <w:tcPr>
            <w:tcW w:type="dxa" w:w="2880"/>
          </w:tcPr>
          <w:p>
            <w:r>
              <w:t>Licenças</w:t>
            </w:r>
          </w:p>
        </w:tc>
        <w:tc>
          <w:tcPr>
            <w:tcW w:type="dxa" w:w="2880"/>
          </w:tcPr>
          <w:p>
            <w:r>
              <w:t>140.000</w:t>
            </w:r>
          </w:p>
        </w:tc>
        <w:tc>
          <w:tcPr>
            <w:tcW w:type="dxa" w:w="2880"/>
          </w:tcPr>
          <w:p>
            <w:r>
              <w:t>156.500</w:t>
            </w:r>
          </w:p>
        </w:tc>
      </w:tr>
      <w:tr>
        <w:tc>
          <w:tcPr>
            <w:tcW w:type="dxa" w:w="2880"/>
          </w:tcPr>
          <w:p>
            <w:r>
              <w:t>Consultoria</w:t>
            </w:r>
          </w:p>
        </w:tc>
        <w:tc>
          <w:tcPr>
            <w:tcW w:type="dxa" w:w="2880"/>
          </w:tcPr>
          <w:p>
            <w:r>
              <w:t>90.000</w:t>
            </w:r>
          </w:p>
        </w:tc>
        <w:tc>
          <w:tcPr>
            <w:tcW w:type="dxa" w:w="2880"/>
          </w:tcPr>
          <w:p>
            <w:r>
              <w:t>94.000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480.000</w:t>
            </w:r>
          </w:p>
        </w:tc>
        <w:tc>
          <w:tcPr>
            <w:tcW w:type="dxa" w:w="2880"/>
          </w:tcPr>
          <w:p>
            <w:r>
              <w:t>512.500</w:t>
            </w:r>
          </w:p>
        </w:tc>
      </w:tr>
    </w:tbl>
    <w:p>
      <w:pPr>
        <w:pStyle w:val="Heading1"/>
      </w:pPr>
      <w:r>
        <w:t>4. Evolução mensal</w:t>
      </w:r>
    </w:p>
    <w:p>
      <w:r>
        <w:t>O prazo médio caiu de 7,2 dias em julho para 4,8 dias em dezembro. A quantidade de chamados atendidos cresceu no período; os valores são indicativos e não demonstram, isoladamente, relação causal.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Mês</w:t>
            </w:r>
          </w:p>
        </w:tc>
        <w:tc>
          <w:tcPr>
            <w:tcW w:type="dxa" w:w="2160"/>
          </w:tcPr>
          <w:p>
            <w:r>
              <w:t>Chamados atendidos</w:t>
            </w:r>
          </w:p>
        </w:tc>
        <w:tc>
          <w:tcPr>
            <w:tcW w:type="dxa" w:w="2160"/>
          </w:tcPr>
          <w:p>
            <w:r>
              <w:t>Prazo médio (dias)</w:t>
            </w:r>
          </w:p>
        </w:tc>
        <w:tc>
          <w:tcPr>
            <w:tcW w:type="dxa" w:w="2160"/>
          </w:tcPr>
          <w:p>
            <w:r>
              <w:t>Reabertura (%)</w:t>
            </w:r>
          </w:p>
        </w:tc>
      </w:tr>
      <w:tr>
        <w:tc>
          <w:tcPr>
            <w:tcW w:type="dxa" w:w="2160"/>
          </w:tcPr>
          <w:p>
            <w:r>
              <w:t>Jul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7,2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Ago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6,8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Set</w:t>
            </w:r>
          </w:p>
        </w:tc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6,2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5,6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Nov</w:t>
            </w:r>
          </w:p>
        </w:tc>
        <w:tc>
          <w:tcPr>
            <w:tcW w:type="dxa" w:w="2160"/>
          </w:tcPr>
          <w:p>
            <w:r>
              <w:t>410</w:t>
            </w:r>
          </w:p>
        </w:tc>
        <w:tc>
          <w:tcPr>
            <w:tcW w:type="dxa" w:w="2160"/>
          </w:tcPr>
          <w:p>
            <w:r>
              <w:t>5,1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Dez</w:t>
            </w:r>
          </w:p>
        </w:tc>
        <w:tc>
          <w:tcPr>
            <w:tcW w:type="dxa" w:w="2160"/>
          </w:tcPr>
          <w:p>
            <w:r>
              <w:t>425</w:t>
            </w:r>
          </w:p>
        </w:tc>
        <w:tc>
          <w:tcPr>
            <w:tcW w:type="dxa" w:w="2160"/>
          </w:tcPr>
          <w:p>
            <w:r>
              <w:t>4,8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</w:tbl>
    <w:p>
      <w:pPr>
        <w:pStyle w:val="Heading1"/>
      </w:pPr>
      <w:r>
        <w:t>5. Principais ações e responsáveis</w:t>
      </w:r>
    </w:p>
    <w:p>
      <w:r>
        <w:t>As atividades foram compiladas a partir de relatos e apontamentos semanais. Duas ações não têm prazo confirmado; uma foi registrada como concluída sem evidência anexada.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Ação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  <w:tc>
          <w:tcPr>
            <w:tcW w:type="dxa" w:w="1728"/>
          </w:tcPr>
          <w:p>
            <w:r>
              <w:t>Prazo</w:t>
            </w:r>
          </w:p>
        </w:tc>
        <w:tc>
          <w:tcPr>
            <w:tcW w:type="dxa" w:w="1728"/>
          </w:tcPr>
          <w:p>
            <w:r>
              <w:t>Situação</w:t>
            </w:r>
          </w:p>
        </w:tc>
      </w:tr>
      <w:tr>
        <w:tc>
          <w:tcPr>
            <w:tcW w:type="dxa" w:w="1728"/>
          </w:tcPr>
          <w:p>
            <w:r>
              <w:t>AC-01</w:t>
            </w:r>
          </w:p>
        </w:tc>
        <w:tc>
          <w:tcPr>
            <w:tcW w:type="dxa" w:w="1728"/>
          </w:tcPr>
          <w:p>
            <w:r>
              <w:t>Validar inventário das unidades</w:t>
            </w:r>
          </w:p>
        </w:tc>
        <w:tc>
          <w:tcPr>
            <w:tcW w:type="dxa" w:w="1728"/>
          </w:tcPr>
          <w:p>
            <w:r>
              <w:t>Camila Santos</w:t>
            </w:r>
          </w:p>
        </w:tc>
        <w:tc>
          <w:tcPr>
            <w:tcW w:type="dxa" w:w="1728"/>
          </w:tcPr>
          <w:p>
            <w:r>
              <w:t>20/01/2026</w:t>
            </w:r>
          </w:p>
        </w:tc>
        <w:tc>
          <w:tcPr>
            <w:tcW w:type="dxa" w:w="1728"/>
          </w:tcPr>
          <w:p>
            <w:r>
              <w:t>Em andamento</w:t>
            </w:r>
          </w:p>
        </w:tc>
      </w:tr>
      <w:tr>
        <w:tc>
          <w:tcPr>
            <w:tcW w:type="dxa" w:w="1728"/>
          </w:tcPr>
          <w:p>
            <w:r>
              <w:t>AC-02</w:t>
            </w:r>
          </w:p>
        </w:tc>
        <w:tc>
          <w:tcPr>
            <w:tcW w:type="dxa" w:w="1728"/>
          </w:tcPr>
          <w:p>
            <w:r>
              <w:t>Revisar base de chamados reabertos</w:t>
            </w:r>
          </w:p>
        </w:tc>
        <w:tc>
          <w:tcPr>
            <w:tcW w:type="dxa" w:w="1728"/>
          </w:tcPr>
          <w:p>
            <w:r>
              <w:t>Rafael Lima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Pendente</w:t>
            </w:r>
          </w:p>
        </w:tc>
      </w:tr>
      <w:tr>
        <w:tc>
          <w:tcPr>
            <w:tcW w:type="dxa" w:w="1728"/>
          </w:tcPr>
          <w:p>
            <w:r>
              <w:t>AC-03</w:t>
            </w:r>
          </w:p>
        </w:tc>
        <w:tc>
          <w:tcPr>
            <w:tcW w:type="dxa" w:w="1728"/>
          </w:tcPr>
          <w:p>
            <w:r>
              <w:t>Publicar procedimento de aceite</w:t>
            </w:r>
          </w:p>
        </w:tc>
        <w:tc>
          <w:tcPr>
            <w:tcW w:type="dxa" w:w="1728"/>
          </w:tcPr>
          <w:p>
            <w:r>
              <w:t>Bruna Alves</w:t>
            </w:r>
          </w:p>
        </w:tc>
        <w:tc>
          <w:tcPr>
            <w:tcW w:type="dxa" w:w="1728"/>
          </w:tcPr>
          <w:p>
            <w:r>
              <w:t>16/01/2026</w:t>
            </w:r>
          </w:p>
        </w:tc>
        <w:tc>
          <w:tcPr>
            <w:tcW w:type="dxa" w:w="1728"/>
          </w:tcPr>
          <w:p>
            <w:r>
              <w:t>Concluída (sem evidência)</w:t>
            </w:r>
          </w:p>
        </w:tc>
      </w:tr>
      <w:tr>
        <w:tc>
          <w:tcPr>
            <w:tcW w:type="dxa" w:w="1728"/>
          </w:tcPr>
          <w:p>
            <w:r>
              <w:t>AC-04</w:t>
            </w:r>
          </w:p>
        </w:tc>
        <w:tc>
          <w:tcPr>
            <w:tcW w:type="dxa" w:w="1728"/>
          </w:tcPr>
          <w:p>
            <w:r>
              <w:t>Reavaliar licenças excedentes</w:t>
            </w:r>
          </w:p>
        </w:tc>
        <w:tc>
          <w:tcPr>
            <w:tcW w:type="dxa" w:w="1728"/>
          </w:tcPr>
          <w:p>
            <w:r>
              <w:t>Marcos Vieira</w:t>
            </w:r>
          </w:p>
        </w:tc>
        <w:tc>
          <w:tcPr>
            <w:tcW w:type="dxa" w:w="1728"/>
          </w:tcPr>
          <w:p>
            <w:r>
              <w:t>28/01/2026</w:t>
            </w:r>
          </w:p>
        </w:tc>
        <w:tc>
          <w:tcPr>
            <w:tcW w:type="dxa" w:w="1728"/>
          </w:tcPr>
          <w:p>
            <w:r>
              <w:t>Em andamento</w:t>
            </w:r>
          </w:p>
        </w:tc>
      </w:tr>
      <w:tr>
        <w:tc>
          <w:tcPr>
            <w:tcW w:type="dxa" w:w="1728"/>
          </w:tcPr>
          <w:p>
            <w:r>
              <w:t>AC-05</w:t>
            </w:r>
          </w:p>
        </w:tc>
        <w:tc>
          <w:tcPr>
            <w:tcW w:type="dxa" w:w="1728"/>
          </w:tcPr>
          <w:p>
            <w:r>
              <w:t>Aplicar treinamento complementar</w:t>
            </w:r>
          </w:p>
        </w:tc>
        <w:tc>
          <w:tcPr>
            <w:tcW w:type="dxa" w:w="1728"/>
          </w:tcPr>
          <w:p>
            <w:r>
              <w:t>Juliana Costa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Não iniciada</w:t>
            </w:r>
          </w:p>
        </w:tc>
      </w:tr>
      <w:tr>
        <w:tc>
          <w:tcPr>
            <w:tcW w:type="dxa" w:w="1728"/>
          </w:tcPr>
          <w:p>
            <w:r>
              <w:t>AC-06</w:t>
            </w:r>
          </w:p>
        </w:tc>
        <w:tc>
          <w:tcPr>
            <w:tcW w:type="dxa" w:w="1728"/>
          </w:tcPr>
          <w:p>
            <w:r>
              <w:t>Apresentar plano de recuperação financeira</w:t>
            </w:r>
          </w:p>
        </w:tc>
        <w:tc>
          <w:tcPr>
            <w:tcW w:type="dxa" w:w="1728"/>
          </w:tcPr>
          <w:p>
            <w:r>
              <w:t>Marcelo Nunes</w:t>
            </w:r>
          </w:p>
        </w:tc>
        <w:tc>
          <w:tcPr>
            <w:tcW w:type="dxa" w:w="1728"/>
          </w:tcPr>
          <w:p>
            <w:r>
              <w:t>23/01/2026</w:t>
            </w:r>
          </w:p>
        </w:tc>
        <w:tc>
          <w:tcPr>
            <w:tcW w:type="dxa" w:w="1728"/>
          </w:tcPr>
          <w:p>
            <w:r>
              <w:t>Em andamento</w:t>
            </w:r>
          </w:p>
        </w:tc>
      </w:tr>
    </w:tbl>
    <w:p>
      <w:pPr>
        <w:pStyle w:val="Heading1"/>
      </w:pPr>
      <w:r>
        <w:t>6. Riscos, bloqueios e dependências</w:t>
      </w:r>
    </w:p>
    <w:p>
      <w:r>
        <w:t>R1 — Divergência entre inventário e cadastro de ativos pode afetar a cobertura declarada. R2 — Custo das licenças superou a previsão e depende de revisão contratual. R3 — Procedimento de aceite pode não estar documentado apesar de constar concluído. R4 — Reabertura de chamados permanece acima da meta e exige análise de causas. R5 — Não há critério uniforme de evidências para atividades encerradas.</w:t>
      </w:r>
    </w:p>
    <w:p>
      <w:pPr>
        <w:pStyle w:val="Heading1"/>
      </w:pPr>
      <w:r>
        <w:t>7. Decisões registradas</w:t>
      </w:r>
    </w:p>
    <w:p>
      <w:r>
        <w:t>Foi aprovada a priorização dos equipamentos sem inventário validado. Foi proposta, mas não aprovada, a contratação de consultoria adicional. A área financeira solicitou replanejamento de despesas e apresentação de alternativas sem compromisso contratual imediato.</w:t>
      </w:r>
    </w:p>
    <w:p>
      <w:pPr>
        <w:pStyle w:val="Heading1"/>
      </w:pPr>
      <w:r>
        <w:t>8. Recomendações preliminares</w:t>
      </w:r>
    </w:p>
    <w:p>
      <w:r>
        <w:t>Recomenda-se consolidar as fontes de dados, registrar evidências de conclusão, formalizar responsáveis e prazos ausentes, revisar custos de licenciamento e acompanhar mensalmente as metas. As recomendações ainda não constituem deliberação da diretoria.</w:t>
      </w:r>
    </w:p>
    <w:p>
      <w:pPr>
        <w:pStyle w:val="Heading1"/>
      </w:pPr>
      <w:r>
        <w:t>9. Observações de qualidade dos dados</w:t>
      </w:r>
    </w:p>
    <w:p>
      <w:r>
        <w:t>Uma nota de reunião informou que a cobertura do inventário teria atingido 96%, em divergência com o painel consolidado de 92%. O relatório não contém a data de extração de todas as fontes; solicitar validação antes de comunicar números definitivos.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Laboratório Microsoft 365 Copilot no Word | Professor Eduardo Popovici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CONTOSO BRASIL  |  MATERIAL FICTÍCIO PARA TREINAMENTO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7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