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0" w:before="0"/>
        <w:jc w:val="center"/>
      </w:pPr>
      <w:r>
        <w:drawing>
          <wp:inline distT="0" distB="0" distL="0" distR="0">
            <wp:extent cx="209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685925"/>
                    </a:xfrm>
                    <a:prstGeom prst="rect">
                      <a:avLst/>
                    </a:prstGeom>
                  </pic:spPr>
                </pic:pic>
              </a:graphicData>
            </a:graphic>
          </wp:inline>
        </w:drawing>
      </w:r>
    </w:p>
    <w:p>
      <w:pPr>
        <w:spacing w:after="0" w:before="0"/>
      </w:pPr>
      <w:r>
        <w:rPr>
          <w:sz w:val="32"/>
          <w:szCs w:val="32"/>
        </w:rPr>
        <w:t xml:space="preserve"/>
      </w:r>
    </w:p>
    <w:p>
      <w:pPr>
        <w:spacing w:after="0" w:before="0"/>
        <w:jc w:val="center"/>
      </w:pPr>
      <w:r>
        <w:rPr>
          <w:rFonts w:ascii="Arial" w:cs="Arial" w:eastAsia="Arial" w:hAnsi="Arial"/>
          <w:b/>
          <w:bCs/>
          <w:color w:val="1B2A6B"/>
          <w:sz w:val="52"/>
          <w:szCs w:val="52"/>
        </w:rPr>
        <w:t xml:space="preserve">DOCUMENT FONDATEUR</w:t>
      </w:r>
    </w:p>
    <w:p>
      <w:pPr>
        <w:spacing w:after="0" w:before="0"/>
      </w:pPr>
      <w:r>
        <w:rPr>
          <w:sz w:val="12"/>
          <w:szCs w:val="12"/>
        </w:rPr>
        <w:t xml:space="preserve"/>
      </w:r>
    </w:p>
    <w:p>
      <w:pPr>
        <w:pBdr>
          <w:bottom w:val="single" w:color="2E9E6E" w:sz="10" w:space="8"/>
        </w:pBdr>
        <w:spacing w:after="0" w:before="0"/>
        <w:jc w:val="center"/>
      </w:pPr>
      <w:r>
        <w:rPr>
          <w:rFonts w:ascii="Arial" w:cs="Arial" w:eastAsia="Arial" w:hAnsi="Arial"/>
          <w:color w:val="2E9E6E"/>
          <w:sz w:val="28"/>
          <w:szCs w:val="28"/>
        </w:rPr>
        <w:t xml:space="preserve">Association Humanitaire Internationale</w:t>
      </w:r>
    </w:p>
    <w:p>
      <w:pPr>
        <w:spacing w:after="0" w:before="0"/>
      </w:pPr>
      <w:r>
        <w:rPr>
          <w:sz w:val="16"/>
          <w:szCs w:val="16"/>
        </w:rPr>
        <w:t xml:space="preserve"/>
      </w:r>
    </w:p>
    <w:p>
      <w:pPr>
        <w:spacing w:after="0" w:before="0"/>
        <w:jc w:val="center"/>
      </w:pPr>
      <w:r>
        <w:rPr>
          <w:rFonts w:ascii="Arial" w:cs="Arial" w:eastAsia="Arial" w:hAnsi="Arial"/>
          <w:color w:val="555555"/>
          <w:sz w:val="20"/>
          <w:szCs w:val="20"/>
        </w:rPr>
        <w:t xml:space="preserve">Organigramme  •  Structure organisationnelle  •  Rôles &amp; Responsabilités</w:t>
      </w:r>
    </w:p>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Fondatrice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compléter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1B2A6B"/>
                <w:sz w:val="20"/>
                <w:szCs w:val="20"/>
              </w:rPr>
              <w:t xml:space="preserve">Date de création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2024</w:t>
            </w:r>
          </w:p>
        </w:tc>
      </w:tr>
      <w:tr>
        <w:tc>
          <w:tcPr>
            <w:tcW w:type="dxa" w:w="2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Siège principal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Burkina Faso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1B2A6B"/>
                <w:sz w:val="20"/>
                <w:szCs w:val="20"/>
              </w:rPr>
              <w:t xml:space="preserve">Pays actifs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Burkina Faso, Côte d'Ivoire, Niger</w:t>
            </w:r>
          </w:p>
        </w:tc>
      </w:tr>
      <w:tr>
        <w:tc>
          <w:tcPr>
            <w:tcW w:type="dxa" w:w="2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Extensions prévues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Maroc, Canada, France, Angleterre, Russie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1B2A6B"/>
                <w:sz w:val="20"/>
                <w:szCs w:val="20"/>
              </w:rPr>
              <w:t xml:space="preserve">Partenariat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Chine — Matériels pour orphelins et personnes dans le besoin</w:t>
            </w:r>
          </w:p>
        </w:tc>
      </w:tr>
    </w:tbl>
    <w:p>
      <w:pPr>
        <w:spacing w:after="0" w:before="0"/>
      </w:pPr>
      <w:r>
        <w:rPr>
          <w:sz w:val="60"/>
          <w:szCs w:val="60"/>
        </w:rPr>
        <w:t xml:space="preserve"/>
      </w:r>
    </w:p>
    <w:p>
      <w:pPr>
        <w:jc w:val="center"/>
      </w:pPr>
      <w:r>
        <w:rPr>
          <w:rFonts w:ascii="Arial" w:cs="Arial" w:eastAsia="Arial" w:hAnsi="Arial"/>
          <w:color w:val="555555"/>
          <w:sz w:val="18"/>
          <w:szCs w:val="18"/>
        </w:rPr>
        <w:t xml:space="preserve">Version 1.0  |  Confidentiel — Usage interne</w:t>
      </w:r>
    </w:p>
    <w:p>
      <w:r>
        <w:br w:type="page"/>
      </w:r>
    </w:p>
    <w:p>
      <w:pPr>
        <w:pStyle w:val="Heading1"/>
        <w:spacing w:after="120" w:before="360"/>
      </w:pPr>
      <w:r>
        <w:rPr>
          <w:rFonts w:ascii="Arial" w:cs="Arial" w:eastAsia="Arial" w:hAnsi="Arial"/>
          <w:b/>
          <w:bCs/>
          <w:color w:val="1B2A6B"/>
          <w:sz w:val="36"/>
          <w:szCs w:val="36"/>
        </w:rPr>
        <w:t xml:space="preserve">1. VISION, MISSION &amp; VALEURS</w:t>
      </w:r>
    </w:p>
    <w:p>
      <w:pPr>
        <w:pBdr>
          <w:bottom w:val="single" w:color="1B2A6B" w:sz="8" w:space="4"/>
        </w:pBdr>
        <w:spacing w:after="80" w:before="80"/>
      </w:pPr>
    </w:p>
    <w:p>
      <w:pPr>
        <w:spacing w:after="0" w:before="0"/>
      </w:pPr>
      <w:r>
        <w:rPr>
          <w:sz w:val="16"/>
          <w:szCs w:val="16"/>
        </w:rPr>
        <w:t xml:space="preserve"/>
      </w:r>
    </w:p>
    <w:p>
      <w:pPr>
        <w:pStyle w:val="Heading2"/>
        <w:spacing w:after="80" w:before="240"/>
      </w:pPr>
      <w:r>
        <w:rPr>
          <w:rFonts w:ascii="Arial" w:cs="Arial" w:eastAsia="Arial" w:hAnsi="Arial"/>
          <w:b/>
          <w:bCs/>
          <w:color w:val="2E9E6E"/>
          <w:sz w:val="28"/>
          <w:szCs w:val="28"/>
        </w:rPr>
        <w:t xml:space="preserve">1.1  Vision</w:t>
      </w:r>
    </w:p>
    <w:p>
      <w:pPr>
        <w:spacing w:after="60" w:before="60"/>
      </w:pPr>
      <w:r>
        <w:rPr>
          <w:rFonts w:ascii="Arial" w:cs="Arial" w:eastAsia="Arial" w:hAnsi="Arial"/>
          <w:b w:val="false"/>
          <w:bCs w:val="false"/>
          <w:color w:val="2C2C2C"/>
          <w:sz w:val="22"/>
          <w:szCs w:val="22"/>
        </w:rPr>
        <w:t xml:space="preserve">Éduquer au Cœur aspire à un monde où chaque enfant, orphelin ou personne vulnérable a accès à l'éducation, à la santé mentale et aux ressources essentielles pour s'épanouir pleinement, quelle que soit sa situation géographique ou sociale.</w:t>
      </w:r>
    </w:p>
    <w:p>
      <w:pPr>
        <w:spacing w:after="0" w:before="0"/>
      </w:pPr>
      <w:r>
        <w:rPr>
          <w:sz w:val="12"/>
          <w:szCs w:val="12"/>
        </w:rPr>
        <w:t xml:space="preserve"/>
      </w:r>
    </w:p>
    <w:p>
      <w:pPr>
        <w:pStyle w:val="Heading2"/>
        <w:spacing w:after="80" w:before="240"/>
      </w:pPr>
      <w:r>
        <w:rPr>
          <w:rFonts w:ascii="Arial" w:cs="Arial" w:eastAsia="Arial" w:hAnsi="Arial"/>
          <w:b/>
          <w:bCs/>
          <w:color w:val="2E9E6E"/>
          <w:sz w:val="28"/>
          <w:szCs w:val="28"/>
        </w:rPr>
        <w:t xml:space="preserve">1.2  Mission</w:t>
      </w:r>
    </w:p>
    <w:p>
      <w:pPr>
        <w:spacing w:after="60" w:before="60"/>
      </w:pPr>
      <w:r>
        <w:rPr>
          <w:rFonts w:ascii="Arial" w:cs="Arial" w:eastAsia="Arial" w:hAnsi="Arial"/>
          <w:b w:val="false"/>
          <w:bCs w:val="false"/>
          <w:color w:val="2C2C2C"/>
          <w:sz w:val="22"/>
          <w:szCs w:val="22"/>
        </w:rPr>
        <w:t xml:space="preserve">Notre mission est de fédérer des bénévoles, des formateurs, des influenceurs et des partenaires à travers le monde pour :</w:t>
      </w:r>
    </w:p>
    <w:p>
      <w:pPr>
        <w:pStyle w:val="ListParagraph"/>
        <w:numPr>
          <w:ilvl w:val="0"/>
          <w:numId w:val="2"/>
        </w:numPr>
        <w:spacing w:after="40" w:before="40"/>
      </w:pPr>
      <w:r>
        <w:rPr>
          <w:rFonts w:ascii="Arial" w:cs="Arial" w:eastAsia="Arial" w:hAnsi="Arial"/>
          <w:color w:val="2C2C2C"/>
          <w:sz w:val="22"/>
          <w:szCs w:val="22"/>
        </w:rPr>
        <w:t xml:space="preserve">Distribuer des matériels éducatifs et de première nécessité aux orphelins et personnes dans le besoin.</w:t>
      </w:r>
    </w:p>
    <w:p>
      <w:pPr>
        <w:pStyle w:val="ListParagraph"/>
        <w:numPr>
          <w:ilvl w:val="0"/>
          <w:numId w:val="2"/>
        </w:numPr>
        <w:spacing w:after="40" w:before="40"/>
      </w:pPr>
      <w:r>
        <w:rPr>
          <w:rFonts w:ascii="Arial" w:cs="Arial" w:eastAsia="Arial" w:hAnsi="Arial"/>
          <w:color w:val="2C2C2C"/>
          <w:sz w:val="22"/>
          <w:szCs w:val="22"/>
        </w:rPr>
        <w:t xml:space="preserve">Offrir un accompagnement en santé mentale adapté aux réalités locales.</w:t>
      </w:r>
    </w:p>
    <w:p>
      <w:pPr>
        <w:pStyle w:val="ListParagraph"/>
        <w:numPr>
          <w:ilvl w:val="0"/>
          <w:numId w:val="2"/>
        </w:numPr>
        <w:spacing w:after="40" w:before="40"/>
      </w:pPr>
      <w:r>
        <w:rPr>
          <w:rFonts w:ascii="Arial" w:cs="Arial" w:eastAsia="Arial" w:hAnsi="Arial"/>
          <w:color w:val="2C2C2C"/>
          <w:sz w:val="22"/>
          <w:szCs w:val="22"/>
        </w:rPr>
        <w:t xml:space="preserve">Organiser des événements de sensibilisation et de collecte de fonds.</w:t>
      </w:r>
    </w:p>
    <w:p>
      <w:pPr>
        <w:pStyle w:val="ListParagraph"/>
        <w:numPr>
          <w:ilvl w:val="0"/>
          <w:numId w:val="2"/>
        </w:numPr>
        <w:spacing w:after="40" w:before="40"/>
      </w:pPr>
      <w:r>
        <w:rPr>
          <w:rFonts w:ascii="Arial" w:cs="Arial" w:eastAsia="Arial" w:hAnsi="Arial"/>
          <w:color w:val="2C2C2C"/>
          <w:sz w:val="22"/>
          <w:szCs w:val="22"/>
        </w:rPr>
        <w:t xml:space="preserve">Former des acteurs locaux capables de pérenniser les actions de l'association.</w:t>
      </w:r>
    </w:p>
    <w:p>
      <w:pPr>
        <w:spacing w:after="0" w:before="0"/>
      </w:pPr>
      <w:r>
        <w:rPr>
          <w:sz w:val="12"/>
          <w:szCs w:val="12"/>
        </w:rPr>
        <w:t xml:space="preserve"/>
      </w:r>
    </w:p>
    <w:p>
      <w:pPr>
        <w:pStyle w:val="Heading2"/>
        <w:spacing w:after="80" w:before="240"/>
      </w:pPr>
      <w:r>
        <w:rPr>
          <w:rFonts w:ascii="Arial" w:cs="Arial" w:eastAsia="Arial" w:hAnsi="Arial"/>
          <w:b/>
          <w:bCs/>
          <w:color w:val="2E9E6E"/>
          <w:sz w:val="28"/>
          <w:szCs w:val="28"/>
        </w:rPr>
        <w:t xml:space="preserve">1.3  Valeurs fondatrices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Valeur</w:t>
            </w:r>
          </w:p>
        </w:tc>
        <w:tc>
          <w:tcPr>
            <w:tcW w:type="dxa" w:w="677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56"/>
            <w:tcBorders>
              <w:top w:val="single" w:color="CCCCCC" w:sz="1"/>
              <w:left w:val="single" w:color="CCCCCC" w:sz="1"/>
              <w:bottom w:val="single" w:color="CCCCCC" w:sz="1"/>
              <w:right w:val="single" w:color="CCCCCC" w:sz="1"/>
            </w:tcBorders>
            <w:shd w:fill="C8ECD8" w:val="clear"/>
            <w:tcMar>
              <w:top w:type="dxa" w:w="80"/>
              <w:left w:type="dxa" w:w="140"/>
              <w:bottom w:type="dxa" w:w="80"/>
              <w:right w:type="dxa" w:w="140"/>
            </w:tcMar>
            <w:vAlign w:val="center"/>
          </w:tcPr>
          <w:p>
            <w:r>
              <w:rPr>
                <w:rFonts w:ascii="Arial" w:cs="Arial" w:eastAsia="Arial" w:hAnsi="Arial"/>
                <w:b/>
                <w:bCs/>
                <w:color w:val="2E9E6E"/>
                <w:sz w:val="20"/>
                <w:szCs w:val="20"/>
              </w:rPr>
              <w:t xml:space="preserve">Bienveillance</w:t>
            </w:r>
          </w:p>
        </w:tc>
        <w:tc>
          <w:tcPr>
            <w:tcW w:type="dxa" w:w="6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Chaque action est guidée par l'empathie et le respect de la dignité humaine.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9E6E"/>
                <w:sz w:val="20"/>
                <w:szCs w:val="20"/>
              </w:rPr>
              <w:t xml:space="preserve">Intégrité</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Transparence totale dans la gestion des fonds et des ressources.</w:t>
            </w:r>
          </w:p>
        </w:tc>
      </w:tr>
      <w:tr>
        <w:tc>
          <w:tcPr>
            <w:tcW w:type="dxa" w:w="2256"/>
            <w:tcBorders>
              <w:top w:val="single" w:color="CCCCCC" w:sz="1"/>
              <w:left w:val="single" w:color="CCCCCC" w:sz="1"/>
              <w:bottom w:val="single" w:color="CCCCCC" w:sz="1"/>
              <w:right w:val="single" w:color="CCCCCC" w:sz="1"/>
            </w:tcBorders>
            <w:shd w:fill="C8ECD8" w:val="clear"/>
            <w:tcMar>
              <w:top w:type="dxa" w:w="80"/>
              <w:left w:type="dxa" w:w="140"/>
              <w:bottom w:type="dxa" w:w="80"/>
              <w:right w:type="dxa" w:w="140"/>
            </w:tcMar>
            <w:vAlign w:val="center"/>
          </w:tcPr>
          <w:p>
            <w:r>
              <w:rPr>
                <w:rFonts w:ascii="Arial" w:cs="Arial" w:eastAsia="Arial" w:hAnsi="Arial"/>
                <w:b/>
                <w:bCs/>
                <w:color w:val="2E9E6E"/>
                <w:sz w:val="20"/>
                <w:szCs w:val="20"/>
              </w:rPr>
              <w:t xml:space="preserve">Inclusion</w:t>
            </w:r>
          </w:p>
        </w:tc>
        <w:tc>
          <w:tcPr>
            <w:tcW w:type="dxa" w:w="6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Aucune discrimination de genre, d'origine, de religion ou de statut social.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E9E6E"/>
                <w:sz w:val="20"/>
                <w:szCs w:val="20"/>
              </w:rPr>
              <w:t xml:space="preserve">Excellence</w:t>
            </w:r>
          </w:p>
        </w:tc>
        <w:tc>
          <w:tcPr>
            <w:tcW w:type="dxa" w:w="67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Qualité et rigueur dans toutes les actions menées.</w:t>
            </w:r>
          </w:p>
        </w:tc>
      </w:tr>
      <w:tr>
        <w:tc>
          <w:tcPr>
            <w:tcW w:type="dxa" w:w="2256"/>
            <w:tcBorders>
              <w:top w:val="single" w:color="CCCCCC" w:sz="1"/>
              <w:left w:val="single" w:color="CCCCCC" w:sz="1"/>
              <w:bottom w:val="single" w:color="CCCCCC" w:sz="1"/>
              <w:right w:val="single" w:color="CCCCCC" w:sz="1"/>
            </w:tcBorders>
            <w:shd w:fill="C8ECD8" w:val="clear"/>
            <w:tcMar>
              <w:top w:type="dxa" w:w="80"/>
              <w:left w:type="dxa" w:w="140"/>
              <w:bottom w:type="dxa" w:w="80"/>
              <w:right w:type="dxa" w:w="140"/>
            </w:tcMar>
            <w:vAlign w:val="center"/>
          </w:tcPr>
          <w:p>
            <w:r>
              <w:rPr>
                <w:rFonts w:ascii="Arial" w:cs="Arial" w:eastAsia="Arial" w:hAnsi="Arial"/>
                <w:b/>
                <w:bCs/>
                <w:color w:val="2E9E6E"/>
                <w:sz w:val="20"/>
                <w:szCs w:val="20"/>
              </w:rPr>
              <w:t xml:space="preserve">Solidarité</w:t>
            </w:r>
          </w:p>
        </w:tc>
        <w:tc>
          <w:tcPr>
            <w:tcW w:type="dxa" w:w="67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Entraide entre toutes les sections, pays et membres de l'association.</w:t>
            </w:r>
          </w:p>
        </w:tc>
      </w:tr>
    </w:tbl>
    <w:p>
      <w:r>
        <w:br w:type="page"/>
      </w:r>
    </w:p>
    <w:p>
      <w:pPr>
        <w:pStyle w:val="Heading1"/>
        <w:spacing w:after="120" w:before="360"/>
      </w:pPr>
      <w:r>
        <w:rPr>
          <w:rFonts w:ascii="Arial" w:cs="Arial" w:eastAsia="Arial" w:hAnsi="Arial"/>
          <w:b/>
          <w:bCs/>
          <w:color w:val="1B2A6B"/>
          <w:sz w:val="36"/>
          <w:szCs w:val="36"/>
        </w:rPr>
        <w:t xml:space="preserve">2. STRUCTURE INTERNATIONALE</w:t>
      </w:r>
    </w:p>
    <w:p>
      <w:pPr>
        <w:pBdr>
          <w:bottom w:val="single" w:color="1B2A6B" w:sz="8" w:space="4"/>
        </w:pBdr>
        <w:spacing w:after="80" w:before="80"/>
      </w:pPr>
    </w:p>
    <w:p>
      <w:pPr>
        <w:spacing w:after="0" w:before="0"/>
      </w:pPr>
      <w:r>
        <w:rPr>
          <w:sz w:val="16"/>
          <w:szCs w:val="16"/>
        </w:rPr>
        <w:t xml:space="preserve"/>
      </w:r>
    </w:p>
    <w:p>
      <w:pPr>
        <w:pStyle w:val="Heading2"/>
        <w:spacing w:after="80" w:before="240"/>
      </w:pPr>
      <w:r>
        <w:rPr>
          <w:rFonts w:ascii="Arial" w:cs="Arial" w:eastAsia="Arial" w:hAnsi="Arial"/>
          <w:b/>
          <w:bCs/>
          <w:color w:val="2E9E6E"/>
          <w:sz w:val="28"/>
          <w:szCs w:val="28"/>
        </w:rPr>
        <w:t xml:space="preserve">2.1  Gouvernance centrale</w:t>
      </w:r>
    </w:p>
    <w:p>
      <w:pPr>
        <w:spacing w:after="60" w:before="60"/>
      </w:pPr>
      <w:r>
        <w:rPr>
          <w:rFonts w:ascii="Arial" w:cs="Arial" w:eastAsia="Arial" w:hAnsi="Arial"/>
          <w:b w:val="false"/>
          <w:bCs w:val="false"/>
          <w:color w:val="2C2C2C"/>
          <w:sz w:val="22"/>
          <w:szCs w:val="22"/>
        </w:rPr>
        <w:t xml:space="preserve">L'association est dirigée par une Présidence Générale (fondatrice) appuyée d'un Comité Directeur International, garant de la cohérence stratégique entre tous les pays membres.</w:t>
      </w:r>
    </w:p>
    <w:p>
      <w:pPr>
        <w:spacing w:after="0" w:before="0"/>
      </w:pPr>
      <w:r>
        <w:rPr>
          <w:sz w:val="16"/>
          <w:szCs w:val="16"/>
        </w:rPr>
        <w:t xml:space="preserve"/>
      </w:r>
    </w:p>
    <w:p>
      <w:pPr>
        <w:pStyle w:val="Heading2"/>
        <w:spacing w:after="80" w:before="240"/>
      </w:pPr>
      <w:r>
        <w:rPr>
          <w:rFonts w:ascii="Arial" w:cs="Arial" w:eastAsia="Arial" w:hAnsi="Arial"/>
          <w:b/>
          <w:bCs/>
          <w:color w:val="2E9E6E"/>
          <w:sz w:val="28"/>
          <w:szCs w:val="28"/>
        </w:rPr>
        <w:t xml:space="preserve">2.2  Délégués Nationaux (Représentants officiels par pays)</w:t>
      </w:r>
    </w:p>
    <w:p>
      <w:pPr>
        <w:spacing w:after="60" w:before="60"/>
      </w:pPr>
      <w:r>
        <w:rPr>
          <w:rFonts w:ascii="Arial" w:cs="Arial" w:eastAsia="Arial" w:hAnsi="Arial"/>
          <w:b w:val="false"/>
          <w:bCs w:val="false"/>
          <w:color w:val="2C2C2C"/>
          <w:sz w:val="22"/>
          <w:szCs w:val="22"/>
        </w:rPr>
        <w:t xml:space="preserve">Chaque pays dispose d'un Délégué National élu ou nommé par la Présidence. Ce délégué est le représentant officiel de l'association dans son territoire. Il coordonne toutes les sections locales et rend compte directement à la direction générale.</w:t>
      </w:r>
    </w:p>
    <w:p>
      <w:pPr>
        <w:spacing w:after="0" w:before="0"/>
      </w:pPr>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426"/>
      </w:tblGrid>
      <w:tr>
        <w:tc>
          <w:tcPr>
            <w:tcW w:type="dxa" w:w="16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Pays</w:t>
            </w:r>
          </w:p>
        </w:tc>
        <w:tc>
          <w:tcPr>
            <w:tcW w:type="dxa" w:w="14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Statut</w:t>
            </w:r>
          </w:p>
        </w:tc>
        <w:tc>
          <w:tcPr>
            <w:tcW w:type="dxa" w:w="16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Délégué(e)</w:t>
            </w:r>
          </w:p>
        </w:tc>
        <w:tc>
          <w:tcPr>
            <w:tcW w:type="dxa" w:w="4426"/>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Priorités locales</w:t>
            </w:r>
          </w:p>
        </w:tc>
      </w:tr>
      <w:tr>
        <w:tc>
          <w:tcPr>
            <w:tcW w:type="dxa" w:w="16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  Burkina Faso</w:t>
            </w:r>
          </w:p>
        </w:tc>
        <w:tc>
          <w:tcPr>
            <w:tcW w:type="dxa" w:w="1400"/>
            <w:tcBorders>
              <w:top w:val="single" w:color="CCCCCC" w:sz="1"/>
              <w:left w:val="single" w:color="CCCCCC" w:sz="1"/>
              <w:bottom w:val="single" w:color="CCCCCC" w:sz="1"/>
              <w:right w:val="single" w:color="CCCCCC" w:sz="1"/>
            </w:tcBorders>
            <w:shd w:fill="C8ECD8" w:val="clear"/>
            <w:tcMar>
              <w:top w:type="dxa" w:w="80"/>
              <w:left w:type="dxa" w:w="140"/>
              <w:bottom w:type="dxa" w:w="80"/>
              <w:right w:type="dxa" w:w="140"/>
            </w:tcMar>
            <w:vAlign w:val="center"/>
          </w:tcPr>
          <w:p>
            <w:r>
              <w:rPr>
                <w:rFonts w:ascii="Arial" w:cs="Arial" w:eastAsia="Arial" w:hAnsi="Arial"/>
                <w:b/>
                <w:bCs/>
                <w:color w:val="2E9E6E"/>
                <w:sz w:val="20"/>
                <w:szCs w:val="20"/>
              </w:rPr>
              <w:t xml:space="preserve">Actif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confirmer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Éducation, distribution matériels (partenariat Chine)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  Côte d'Ivoire</w:t>
            </w:r>
          </w:p>
        </w:tc>
        <w:tc>
          <w:tcPr>
            <w:tcW w:type="dxa" w:w="1400"/>
            <w:tcBorders>
              <w:top w:val="single" w:color="CCCCCC" w:sz="1"/>
              <w:left w:val="single" w:color="CCCCCC" w:sz="1"/>
              <w:bottom w:val="single" w:color="CCCCCC" w:sz="1"/>
              <w:right w:val="single" w:color="CCCCCC" w:sz="1"/>
            </w:tcBorders>
            <w:shd w:fill="C8ECD8" w:val="clear"/>
            <w:tcMar>
              <w:top w:type="dxa" w:w="80"/>
              <w:left w:type="dxa" w:w="140"/>
              <w:bottom w:type="dxa" w:w="80"/>
              <w:right w:type="dxa" w:w="140"/>
            </w:tcMar>
            <w:vAlign w:val="center"/>
          </w:tcPr>
          <w:p>
            <w:r>
              <w:rPr>
                <w:rFonts w:ascii="Arial" w:cs="Arial" w:eastAsia="Arial" w:hAnsi="Arial"/>
                <w:b/>
                <w:bCs/>
                <w:color w:val="2E9E6E"/>
                <w:sz w:val="20"/>
                <w:szCs w:val="20"/>
              </w:rPr>
              <w:t xml:space="preserve">Actif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confirmer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Santé mentale, événementiel</w:t>
            </w:r>
          </w:p>
        </w:tc>
      </w:tr>
      <w:tr>
        <w:tc>
          <w:tcPr>
            <w:tcW w:type="dxa" w:w="16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  Niger</w:t>
            </w:r>
          </w:p>
        </w:tc>
        <w:tc>
          <w:tcPr>
            <w:tcW w:type="dxa" w:w="1400"/>
            <w:tcBorders>
              <w:top w:val="single" w:color="CCCCCC" w:sz="1"/>
              <w:left w:val="single" w:color="CCCCCC" w:sz="1"/>
              <w:bottom w:val="single" w:color="CCCCCC" w:sz="1"/>
              <w:right w:val="single" w:color="CCCCCC" w:sz="1"/>
            </w:tcBorders>
            <w:shd w:fill="C8ECD8" w:val="clear"/>
            <w:tcMar>
              <w:top w:type="dxa" w:w="80"/>
              <w:left w:type="dxa" w:w="140"/>
              <w:bottom w:type="dxa" w:w="80"/>
              <w:right w:type="dxa" w:w="140"/>
            </w:tcMar>
            <w:vAlign w:val="center"/>
          </w:tcPr>
          <w:p>
            <w:r>
              <w:rPr>
                <w:rFonts w:ascii="Arial" w:cs="Arial" w:eastAsia="Arial" w:hAnsi="Arial"/>
                <w:b/>
                <w:bCs/>
                <w:color w:val="2E9E6E"/>
                <w:sz w:val="20"/>
                <w:szCs w:val="20"/>
              </w:rPr>
              <w:t xml:space="preserve">Actif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confirmer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Distribution, bénévolat local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  Maroc</w:t>
            </w:r>
          </w:p>
        </w:tc>
        <w:tc>
          <w:tcPr>
            <w:tcW w:type="dxa" w:w="1400"/>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vAlign w:val="center"/>
          </w:tcPr>
          <w:p>
            <w:r>
              <w:rPr>
                <w:rFonts w:ascii="Arial" w:cs="Arial" w:eastAsia="Arial" w:hAnsi="Arial"/>
                <w:b/>
                <w:bCs/>
                <w:color w:val="C9922A"/>
                <w:sz w:val="20"/>
                <w:szCs w:val="20"/>
              </w:rPr>
              <w:t xml:space="preserve">Extension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recruter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Communication, sensibilisation</w:t>
            </w:r>
          </w:p>
        </w:tc>
      </w:tr>
      <w:tr>
        <w:tc>
          <w:tcPr>
            <w:tcW w:type="dxa" w:w="16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  Canada</w:t>
            </w:r>
          </w:p>
        </w:tc>
        <w:tc>
          <w:tcPr>
            <w:tcW w:type="dxa" w:w="1400"/>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vAlign w:val="center"/>
          </w:tcPr>
          <w:p>
            <w:r>
              <w:rPr>
                <w:rFonts w:ascii="Arial" w:cs="Arial" w:eastAsia="Arial" w:hAnsi="Arial"/>
                <w:b/>
                <w:bCs/>
                <w:color w:val="C9922A"/>
                <w:sz w:val="20"/>
                <w:szCs w:val="20"/>
              </w:rPr>
              <w:t xml:space="preserve">Extension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recruter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Financement, influence diaspora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  France</w:t>
            </w:r>
          </w:p>
        </w:tc>
        <w:tc>
          <w:tcPr>
            <w:tcW w:type="dxa" w:w="1400"/>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vAlign w:val="center"/>
          </w:tcPr>
          <w:p>
            <w:r>
              <w:rPr>
                <w:rFonts w:ascii="Arial" w:cs="Arial" w:eastAsia="Arial" w:hAnsi="Arial"/>
                <w:b/>
                <w:bCs/>
                <w:color w:val="C9922A"/>
                <w:sz w:val="20"/>
                <w:szCs w:val="20"/>
              </w:rPr>
              <w:t xml:space="preserve">Extension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recruter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Partenariats ONG, communication</w:t>
            </w:r>
          </w:p>
        </w:tc>
      </w:tr>
      <w:tr>
        <w:tc>
          <w:tcPr>
            <w:tcW w:type="dxa" w:w="16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  Angleterre</w:t>
            </w:r>
          </w:p>
        </w:tc>
        <w:tc>
          <w:tcPr>
            <w:tcW w:type="dxa" w:w="1400"/>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vAlign w:val="center"/>
          </w:tcPr>
          <w:p>
            <w:r>
              <w:rPr>
                <w:rFonts w:ascii="Arial" w:cs="Arial" w:eastAsia="Arial" w:hAnsi="Arial"/>
                <w:b/>
                <w:bCs/>
                <w:color w:val="C9922A"/>
                <w:sz w:val="20"/>
                <w:szCs w:val="20"/>
              </w:rPr>
              <w:t xml:space="preserve">Extension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recruter</w:t>
            </w:r>
          </w:p>
        </w:tc>
        <w:tc>
          <w:tcPr>
            <w:tcW w:type="dxa" w:w="4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Fundraising, événementiel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  Russie</w:t>
            </w:r>
          </w:p>
        </w:tc>
        <w:tc>
          <w:tcPr>
            <w:tcW w:type="dxa" w:w="1400"/>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vAlign w:val="center"/>
          </w:tcPr>
          <w:p>
            <w:r>
              <w:rPr>
                <w:rFonts w:ascii="Arial" w:cs="Arial" w:eastAsia="Arial" w:hAnsi="Arial"/>
                <w:b/>
                <w:bCs/>
                <w:color w:val="C9922A"/>
                <w:sz w:val="20"/>
                <w:szCs w:val="20"/>
              </w:rPr>
              <w:t xml:space="preserve">Extension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À recruter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Partenariats institutionnels</w:t>
            </w:r>
          </w:p>
        </w:tc>
      </w:tr>
    </w:tbl>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2.3  Partenariat stratégique — Chine</w:t>
      </w:r>
    </w:p>
    <w:p>
      <w:pPr>
        <w:spacing w:after="60" w:before="60"/>
      </w:pPr>
      <w:r>
        <w:rPr>
          <w:rFonts w:ascii="Arial" w:cs="Arial" w:eastAsia="Arial" w:hAnsi="Arial"/>
          <w:b w:val="false"/>
          <w:bCs w:val="false"/>
          <w:color w:val="2C2C2C"/>
          <w:sz w:val="22"/>
          <w:szCs w:val="22"/>
        </w:rPr>
        <w:t xml:space="preserve">Un partenaire établi en Chine permet à l'association de sourcer et d'acheminer des matériels (fournitures scolaires, kits hygiène, vêtements) à destination des orphelins et des personnes dans le besoin. La coordination logistique est assurée conjointement par le Délégué National du Burkina Faso et la Section Don internationale.</w:t>
      </w:r>
    </w:p>
    <w:p>
      <w:r>
        <w:br w:type="page"/>
      </w:r>
    </w:p>
    <w:p>
      <w:pPr>
        <w:pStyle w:val="Heading1"/>
        <w:spacing w:after="120" w:before="360"/>
      </w:pPr>
      <w:r>
        <w:rPr>
          <w:rFonts w:ascii="Arial" w:cs="Arial" w:eastAsia="Arial" w:hAnsi="Arial"/>
          <w:b/>
          <w:bCs/>
          <w:color w:val="1B2A6B"/>
          <w:sz w:val="36"/>
          <w:szCs w:val="36"/>
        </w:rPr>
        <w:t xml:space="preserve">3. SECTIONS DE L'ASSOCIATION</w:t>
      </w:r>
    </w:p>
    <w:p>
      <w:pPr>
        <w:pBdr>
          <w:bottom w:val="single" w:color="1B2A6B" w:sz="8" w:space="4"/>
        </w:pBdr>
        <w:spacing w:after="80" w:before="80"/>
      </w:pPr>
    </w:p>
    <w:p>
      <w:pPr>
        <w:spacing w:after="0" w:before="0"/>
      </w:pPr>
      <w:r>
        <w:rPr>
          <w:sz w:val="16"/>
          <w:szCs w:val="16"/>
        </w:rPr>
        <w:t xml:space="preserve"/>
      </w:r>
    </w:p>
    <w:p>
      <w:pPr>
        <w:spacing w:after="60" w:before="60"/>
      </w:pPr>
      <w:r>
        <w:rPr>
          <w:rFonts w:ascii="Arial" w:cs="Arial" w:eastAsia="Arial" w:hAnsi="Arial"/>
          <w:b w:val="false"/>
          <w:bCs w:val="false"/>
          <w:color w:val="2C2C2C"/>
          <w:sz w:val="22"/>
          <w:szCs w:val="22"/>
        </w:rPr>
        <w:t xml:space="preserve">L'association est subdivisée en 7 sections thématiques, chacune présente dans chaque pays membre. Chaque section est dirigée par un Responsable de Section (RS) nommé par le Délégué National.</w:t>
      </w: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2000"/>
        <w:gridCol w:w="4226"/>
      </w:tblGrid>
      <w:tr>
        <w:tc>
          <w:tcPr>
            <w:tcW w:type="dxa" w:w="3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25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w:t>
            </w:r>
          </w:p>
        </w:tc>
        <w:tc>
          <w:tcPr>
            <w:tcW w:type="dxa" w:w="20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c>
          <w:tcPr>
            <w:tcW w:type="dxa" w:w="4226"/>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Mission principale</w:t>
            </w:r>
          </w:p>
        </w:tc>
      </w:tr>
      <w:tr>
        <w:tc>
          <w:tcPr>
            <w:tcW w:type="dxa" w:w="3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1</w:t>
            </w:r>
          </w:p>
        </w:tc>
        <w:tc>
          <w:tcPr>
            <w:tcW w:type="dxa" w:w="2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Communication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Communication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Visibilité, réseaux sociaux, presse, relations partenaires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Santé Mentale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Santé Mentale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Accompagnement psychologique, programmes bien-être</w:t>
            </w:r>
          </w:p>
        </w:tc>
      </w:tr>
      <w:tr>
        <w:tc>
          <w:tcPr>
            <w:tcW w:type="dxa" w:w="3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3</w:t>
            </w:r>
          </w:p>
        </w:tc>
        <w:tc>
          <w:tcPr>
            <w:tcW w:type="dxa" w:w="2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Don &amp; Distribution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Don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Collecte, gestion et distribution des dons matériels et financiers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Bénévolat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Bénévolat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Recrutement, formation et suivi des bénévoles (mandat 3 mois)</w:t>
            </w:r>
          </w:p>
        </w:tc>
      </w:tr>
      <w:tr>
        <w:tc>
          <w:tcPr>
            <w:tcW w:type="dxa" w:w="3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5</w:t>
            </w:r>
          </w:p>
        </w:tc>
        <w:tc>
          <w:tcPr>
            <w:tcW w:type="dxa" w:w="2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Événementiel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Événementiel</w:t>
            </w:r>
          </w:p>
        </w:tc>
        <w:tc>
          <w:tcPr>
            <w:tcW w:type="dxa" w:w="4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Organisation des événements, galas, activités caritatives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Finance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Comptabilité, budget, audit, transparence financière</w:t>
            </w:r>
          </w:p>
        </w:tc>
      </w:tr>
      <w:tr>
        <w:tc>
          <w:tcPr>
            <w:tcW w:type="dxa" w:w="3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7</w:t>
            </w:r>
          </w:p>
        </w:tc>
        <w:tc>
          <w:tcPr>
            <w:tcW w:type="dxa" w:w="2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Formation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Formation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Programme formateurs (mandat 6 mois), transfert de compétences</w:t>
            </w:r>
          </w:p>
        </w:tc>
      </w:tr>
    </w:tbl>
    <w:p>
      <w:pPr>
        <w:spacing w:after="0" w:before="0"/>
      </w:pPr>
      <w:r>
        <w:rPr>
          <w:sz w:val="32"/>
          <w:szCs w:val="32"/>
        </w:rPr>
        <w:t xml:space="preserve"/>
      </w:r>
    </w:p>
    <w:p>
      <w:pPr>
        <w:pStyle w:val="Heading2"/>
        <w:spacing w:after="80" w:before="240"/>
      </w:pPr>
      <w:r>
        <w:rPr>
          <w:rFonts w:ascii="Arial" w:cs="Arial" w:eastAsia="Arial" w:hAnsi="Arial"/>
          <w:b/>
          <w:bCs/>
          <w:color w:val="2E9E6E"/>
          <w:sz w:val="28"/>
          <w:szCs w:val="28"/>
        </w:rPr>
        <w:t xml:space="preserve">3.1  Section Communication</w:t>
      </w:r>
    </w:p>
    <w:p>
      <w:pPr>
        <w:spacing w:after="60" w:before="60"/>
      </w:pPr>
      <w:r>
        <w:rPr>
          <w:rFonts w:ascii="Arial" w:cs="Arial" w:eastAsia="Arial" w:hAnsi="Arial"/>
          <w:b w:val="false"/>
          <w:bCs w:val="false"/>
          <w:color w:val="2C2C2C"/>
          <w:sz w:val="22"/>
          <w:szCs w:val="22"/>
        </w:rPr>
        <w:t xml:space="preserve">La Section Communication est la vitrine de l'association. Elle opère sur trois axes simultanément :</w:t>
      </w:r>
    </w:p>
    <w:p>
      <w:pPr>
        <w:spacing w:after="0" w:before="0"/>
      </w:pPr>
      <w:r>
        <w:rPr>
          <w:sz w:val="8"/>
          <w:szCs w:val="8"/>
        </w:rPr>
        <w:t xml:space="preserve"/>
      </w:r>
    </w:p>
    <w:p>
      <w:pPr>
        <w:pStyle w:val="Heading3"/>
        <w:spacing w:after="60" w:before="180"/>
      </w:pPr>
      <w:r>
        <w:rPr>
          <w:rFonts w:ascii="Arial" w:cs="Arial" w:eastAsia="Arial" w:hAnsi="Arial"/>
          <w:b/>
          <w:bCs/>
          <w:color w:val="1B2A6B"/>
          <w:sz w:val="24"/>
          <w:szCs w:val="24"/>
        </w:rPr>
        <w:t xml:space="preserve">Axe 1 — Réseaux Sociaux &amp; Influenceurs</w:t>
      </w:r>
    </w:p>
    <w:p>
      <w:pPr>
        <w:pStyle w:val="ListParagraph"/>
        <w:numPr>
          <w:ilvl w:val="0"/>
          <w:numId w:val="2"/>
        </w:numPr>
        <w:spacing w:after="40" w:before="40"/>
      </w:pPr>
      <w:r>
        <w:rPr>
          <w:rFonts w:ascii="Arial" w:cs="Arial" w:eastAsia="Arial" w:hAnsi="Arial"/>
          <w:color w:val="2C2C2C"/>
          <w:sz w:val="22"/>
          <w:szCs w:val="22"/>
        </w:rPr>
        <w:t xml:space="preserve">Gestion des comptes officiels (Instagram, Facebook, TikTok, YouTube, LinkedIn).</w:t>
      </w:r>
    </w:p>
    <w:p>
      <w:pPr>
        <w:pStyle w:val="ListParagraph"/>
        <w:numPr>
          <w:ilvl w:val="0"/>
          <w:numId w:val="2"/>
        </w:numPr>
        <w:spacing w:after="40" w:before="40"/>
      </w:pPr>
      <w:r>
        <w:rPr>
          <w:rFonts w:ascii="Arial" w:cs="Arial" w:eastAsia="Arial" w:hAnsi="Arial"/>
          <w:color w:val="2C2C2C"/>
          <w:sz w:val="22"/>
          <w:szCs w:val="22"/>
        </w:rPr>
        <w:t xml:space="preserve">Coordination des influenceurs membres : contenus, campagnes de sensibilisation, appels aux dons.</w:t>
      </w:r>
    </w:p>
    <w:p>
      <w:pPr>
        <w:pStyle w:val="ListParagraph"/>
        <w:numPr>
          <w:ilvl w:val="0"/>
          <w:numId w:val="2"/>
        </w:numPr>
        <w:spacing w:after="40" w:before="40"/>
      </w:pPr>
      <w:r>
        <w:rPr>
          <w:rFonts w:ascii="Arial" w:cs="Arial" w:eastAsia="Arial" w:hAnsi="Arial"/>
          <w:color w:val="2C2C2C"/>
          <w:sz w:val="22"/>
          <w:szCs w:val="22"/>
        </w:rPr>
        <w:t xml:space="preserve">Calendrier éditorial mensuel validé par le RS Communication.</w:t>
      </w:r>
    </w:p>
    <w:p>
      <w:pPr>
        <w:spacing w:after="0" w:before="0"/>
      </w:pPr>
      <w:r>
        <w:rPr>
          <w:sz w:val="8"/>
          <w:szCs w:val="8"/>
        </w:rPr>
        <w:t xml:space="preserve"/>
      </w:r>
    </w:p>
    <w:p>
      <w:pPr>
        <w:pStyle w:val="Heading3"/>
        <w:spacing w:after="60" w:before="180"/>
      </w:pPr>
      <w:r>
        <w:rPr>
          <w:rFonts w:ascii="Arial" w:cs="Arial" w:eastAsia="Arial" w:hAnsi="Arial"/>
          <w:b/>
          <w:bCs/>
          <w:color w:val="1B2A6B"/>
          <w:sz w:val="24"/>
          <w:szCs w:val="24"/>
        </w:rPr>
        <w:t xml:space="preserve">Axe 2 — Communication Interne</w:t>
      </w:r>
    </w:p>
    <w:p>
      <w:pPr>
        <w:pStyle w:val="ListParagraph"/>
        <w:numPr>
          <w:ilvl w:val="0"/>
          <w:numId w:val="2"/>
        </w:numPr>
        <w:spacing w:after="40" w:before="40"/>
      </w:pPr>
      <w:r>
        <w:rPr>
          <w:rFonts w:ascii="Arial" w:cs="Arial" w:eastAsia="Arial" w:hAnsi="Arial"/>
          <w:color w:val="2C2C2C"/>
          <w:sz w:val="22"/>
          <w:szCs w:val="22"/>
        </w:rPr>
        <w:t xml:space="preserve">Newsletter interne mensuelle pour tous les membres et bénévoles.</w:t>
      </w:r>
    </w:p>
    <w:p>
      <w:pPr>
        <w:pStyle w:val="ListParagraph"/>
        <w:numPr>
          <w:ilvl w:val="0"/>
          <w:numId w:val="2"/>
        </w:numPr>
        <w:spacing w:after="40" w:before="40"/>
      </w:pPr>
      <w:r>
        <w:rPr>
          <w:rFonts w:ascii="Arial" w:cs="Arial" w:eastAsia="Arial" w:hAnsi="Arial"/>
          <w:color w:val="2C2C2C"/>
          <w:sz w:val="22"/>
          <w:szCs w:val="22"/>
        </w:rPr>
        <w:t xml:space="preserve">Tableau de bord des activités partagé entre sections.</w:t>
      </w:r>
    </w:p>
    <w:p>
      <w:pPr>
        <w:pStyle w:val="ListParagraph"/>
        <w:numPr>
          <w:ilvl w:val="0"/>
          <w:numId w:val="2"/>
        </w:numPr>
        <w:spacing w:after="40" w:before="40"/>
      </w:pPr>
      <w:r>
        <w:rPr>
          <w:rFonts w:ascii="Arial" w:cs="Arial" w:eastAsia="Arial" w:hAnsi="Arial"/>
          <w:color w:val="2C2C2C"/>
          <w:sz w:val="22"/>
          <w:szCs w:val="22"/>
        </w:rPr>
        <w:t xml:space="preserve">Protocole de communication entre Délégués Nationaux et direction centrale.</w:t>
      </w:r>
    </w:p>
    <w:p>
      <w:pPr>
        <w:spacing w:after="0" w:before="0"/>
      </w:pPr>
      <w:r>
        <w:rPr>
          <w:sz w:val="8"/>
          <w:szCs w:val="8"/>
        </w:rPr>
        <w:t xml:space="preserve"/>
      </w:r>
    </w:p>
    <w:p>
      <w:pPr>
        <w:pStyle w:val="Heading3"/>
        <w:spacing w:after="60" w:before="180"/>
      </w:pPr>
      <w:r>
        <w:rPr>
          <w:rFonts w:ascii="Arial" w:cs="Arial" w:eastAsia="Arial" w:hAnsi="Arial"/>
          <w:b/>
          <w:bCs/>
          <w:color w:val="1B2A6B"/>
          <w:sz w:val="24"/>
          <w:szCs w:val="24"/>
        </w:rPr>
        <w:t xml:space="preserve">Axe 3 — Relations Presse &amp; Partenariats Externes</w:t>
      </w:r>
    </w:p>
    <w:p>
      <w:pPr>
        <w:pStyle w:val="ListParagraph"/>
        <w:numPr>
          <w:ilvl w:val="0"/>
          <w:numId w:val="2"/>
        </w:numPr>
        <w:spacing w:after="40" w:before="40"/>
      </w:pPr>
      <w:r>
        <w:rPr>
          <w:rFonts w:ascii="Arial" w:cs="Arial" w:eastAsia="Arial" w:hAnsi="Arial"/>
          <w:color w:val="2C2C2C"/>
          <w:sz w:val="22"/>
          <w:szCs w:val="22"/>
        </w:rPr>
        <w:t xml:space="preserve">Communiqués de presse pour chaque événement majeur.</w:t>
      </w:r>
    </w:p>
    <w:p>
      <w:pPr>
        <w:pStyle w:val="ListParagraph"/>
        <w:numPr>
          <w:ilvl w:val="0"/>
          <w:numId w:val="2"/>
        </w:numPr>
        <w:spacing w:after="40" w:before="40"/>
      </w:pPr>
      <w:r>
        <w:rPr>
          <w:rFonts w:ascii="Arial" w:cs="Arial" w:eastAsia="Arial" w:hAnsi="Arial"/>
          <w:color w:val="2C2C2C"/>
          <w:sz w:val="22"/>
          <w:szCs w:val="22"/>
        </w:rPr>
        <w:t xml:space="preserve">Dossier de présentation de l'association (kit partenaire).</w:t>
      </w:r>
    </w:p>
    <w:p>
      <w:pPr>
        <w:pStyle w:val="ListParagraph"/>
        <w:numPr>
          <w:ilvl w:val="0"/>
          <w:numId w:val="2"/>
        </w:numPr>
        <w:spacing w:after="40" w:before="40"/>
      </w:pPr>
      <w:r>
        <w:rPr>
          <w:rFonts w:ascii="Arial" w:cs="Arial" w:eastAsia="Arial" w:hAnsi="Arial"/>
          <w:color w:val="2C2C2C"/>
          <w:sz w:val="22"/>
          <w:szCs w:val="22"/>
        </w:rPr>
        <w:t xml:space="preserve">Gestion des demandes médias et interviews.</w:t>
      </w:r>
    </w:p>
    <w:p>
      <w:pPr>
        <w:spacing w:after="0" w:before="0"/>
      </w:pPr>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Département</w:t>
            </w:r>
          </w:p>
        </w:tc>
        <w:tc>
          <w:tcPr>
            <w:tcW w:type="dxa" w:w="3009"/>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c>
          <w:tcPr>
            <w:tcW w:type="dxa" w:w="3009"/>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Outils suggérés</w:t>
            </w:r>
          </w:p>
        </w:tc>
      </w:tr>
      <w:tr>
        <w:tc>
          <w:tcPr>
            <w:tcW w:type="dxa" w:w="3008"/>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Réseaux Sociaux</w:t>
            </w:r>
          </w:p>
        </w:tc>
        <w:tc>
          <w:tcPr>
            <w:tcW w:type="dxa" w:w="3009"/>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Community Manager</w:t>
            </w:r>
          </w:p>
        </w:tc>
        <w:tc>
          <w:tcPr>
            <w:tcW w:type="dxa" w:w="3009"/>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Canva, Buffer, Meta Business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Influenceurs</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Coordinateur Influence</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Google Sheets, WhatsApp Pro</w:t>
            </w:r>
          </w:p>
        </w:tc>
      </w:tr>
      <w:tr>
        <w:tc>
          <w:tcPr>
            <w:tcW w:type="dxa" w:w="3008"/>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Communication Interne</w:t>
            </w:r>
          </w:p>
        </w:tc>
        <w:tc>
          <w:tcPr>
            <w:tcW w:type="dxa" w:w="3009"/>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Chargé communication interne</w:t>
            </w:r>
          </w:p>
        </w:tc>
        <w:tc>
          <w:tcPr>
            <w:tcW w:type="dxa" w:w="3009"/>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Notion, Slack, Email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Presse &amp; Partenariats</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Chargé de relations externes</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Mailchimp, Dossier presse PDF</w:t>
            </w:r>
          </w:p>
        </w:tc>
      </w:tr>
    </w:tbl>
    <w:p>
      <w:pPr>
        <w:spacing w:after="0" w:before="0"/>
      </w:pPr>
      <w:r>
        <w:rPr>
          <w:sz w:val="28"/>
          <w:szCs w:val="28"/>
        </w:rPr>
        <w:t xml:space="preserve"/>
      </w:r>
    </w:p>
    <w:p>
      <w:pPr>
        <w:pStyle w:val="Heading2"/>
        <w:spacing w:after="80" w:before="240"/>
      </w:pPr>
      <w:r>
        <w:rPr>
          <w:rFonts w:ascii="Arial" w:cs="Arial" w:eastAsia="Arial" w:hAnsi="Arial"/>
          <w:b/>
          <w:bCs/>
          <w:color w:val="2E9E6E"/>
          <w:sz w:val="28"/>
          <w:szCs w:val="28"/>
        </w:rPr>
        <w:t xml:space="preserve">3.2  Section Santé Mentale</w:t>
      </w:r>
    </w:p>
    <w:p>
      <w:pPr>
        <w:pStyle w:val="ListParagraph"/>
        <w:numPr>
          <w:ilvl w:val="0"/>
          <w:numId w:val="2"/>
        </w:numPr>
        <w:spacing w:after="40" w:before="40"/>
      </w:pPr>
      <w:r>
        <w:rPr>
          <w:rFonts w:ascii="Arial" w:cs="Arial" w:eastAsia="Arial" w:hAnsi="Arial"/>
          <w:color w:val="2C2C2C"/>
          <w:sz w:val="22"/>
          <w:szCs w:val="22"/>
        </w:rPr>
        <w:t xml:space="preserve">Mise en place de cellules d'écoute dans chaque pays membre.</w:t>
      </w:r>
    </w:p>
    <w:p>
      <w:pPr>
        <w:pStyle w:val="ListParagraph"/>
        <w:numPr>
          <w:ilvl w:val="0"/>
          <w:numId w:val="2"/>
        </w:numPr>
        <w:spacing w:after="40" w:before="40"/>
      </w:pPr>
      <w:r>
        <w:rPr>
          <w:rFonts w:ascii="Arial" w:cs="Arial" w:eastAsia="Arial" w:hAnsi="Arial"/>
          <w:color w:val="2C2C2C"/>
          <w:sz w:val="22"/>
          <w:szCs w:val="22"/>
        </w:rPr>
        <w:t xml:space="preserve">Ateliers de bien-être et de résilience pour les bénéficiaires.</w:t>
      </w:r>
    </w:p>
    <w:p>
      <w:pPr>
        <w:pStyle w:val="ListParagraph"/>
        <w:numPr>
          <w:ilvl w:val="0"/>
          <w:numId w:val="2"/>
        </w:numPr>
        <w:spacing w:after="40" w:before="40"/>
      </w:pPr>
      <w:r>
        <w:rPr>
          <w:rFonts w:ascii="Arial" w:cs="Arial" w:eastAsia="Arial" w:hAnsi="Arial"/>
          <w:color w:val="2C2C2C"/>
          <w:sz w:val="22"/>
          <w:szCs w:val="22"/>
        </w:rPr>
        <w:t xml:space="preserve">Partenariats avec des psychologues, thérapeutes et professionnels de santé.</w:t>
      </w:r>
    </w:p>
    <w:p>
      <w:pPr>
        <w:pStyle w:val="ListParagraph"/>
        <w:numPr>
          <w:ilvl w:val="0"/>
          <w:numId w:val="2"/>
        </w:numPr>
        <w:spacing w:after="40" w:before="40"/>
      </w:pPr>
      <w:r>
        <w:rPr>
          <w:rFonts w:ascii="Arial" w:cs="Arial" w:eastAsia="Arial" w:hAnsi="Arial"/>
          <w:color w:val="2C2C2C"/>
          <w:sz w:val="22"/>
          <w:szCs w:val="22"/>
        </w:rPr>
        <w:t xml:space="preserve">Suivi du bien-être des bénévoles et formateurs de l'association.</w:t>
      </w:r>
    </w:p>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3.3  Section Don &amp; Distribution</w:t>
      </w:r>
    </w:p>
    <w:p>
      <w:pPr>
        <w:pStyle w:val="ListParagraph"/>
        <w:numPr>
          <w:ilvl w:val="0"/>
          <w:numId w:val="2"/>
        </w:numPr>
        <w:spacing w:after="40" w:before="40"/>
      </w:pPr>
      <w:r>
        <w:rPr>
          <w:rFonts w:ascii="Arial" w:cs="Arial" w:eastAsia="Arial" w:hAnsi="Arial"/>
          <w:color w:val="2C2C2C"/>
          <w:sz w:val="22"/>
          <w:szCs w:val="22"/>
        </w:rPr>
        <w:t xml:space="preserve">Réception et inventaire des dons matériels (partenariat Chine inclus).</w:t>
      </w:r>
    </w:p>
    <w:p>
      <w:pPr>
        <w:pStyle w:val="ListParagraph"/>
        <w:numPr>
          <w:ilvl w:val="0"/>
          <w:numId w:val="2"/>
        </w:numPr>
        <w:spacing w:after="40" w:before="40"/>
      </w:pPr>
      <w:r>
        <w:rPr>
          <w:rFonts w:ascii="Arial" w:cs="Arial" w:eastAsia="Arial" w:hAnsi="Arial"/>
          <w:color w:val="2C2C2C"/>
          <w:sz w:val="22"/>
          <w:szCs w:val="22"/>
        </w:rPr>
        <w:t xml:space="preserve">Coordination logistique de la distribution aux orphelins et personnes dans le besoin.</w:t>
      </w:r>
    </w:p>
    <w:p>
      <w:pPr>
        <w:pStyle w:val="ListParagraph"/>
        <w:numPr>
          <w:ilvl w:val="0"/>
          <w:numId w:val="2"/>
        </w:numPr>
        <w:spacing w:after="40" w:before="40"/>
      </w:pPr>
      <w:r>
        <w:rPr>
          <w:rFonts w:ascii="Arial" w:cs="Arial" w:eastAsia="Arial" w:hAnsi="Arial"/>
          <w:color w:val="2C2C2C"/>
          <w:sz w:val="22"/>
          <w:szCs w:val="22"/>
        </w:rPr>
        <w:t xml:space="preserve">Registre transparent des dons reçus et distribués, audité par la Section Finance.</w:t>
      </w:r>
    </w:p>
    <w:p>
      <w:pPr>
        <w:pStyle w:val="ListParagraph"/>
        <w:numPr>
          <w:ilvl w:val="0"/>
          <w:numId w:val="2"/>
        </w:numPr>
        <w:spacing w:after="40" w:before="40"/>
      </w:pPr>
      <w:r>
        <w:rPr>
          <w:rFonts w:ascii="Arial" w:cs="Arial" w:eastAsia="Arial" w:hAnsi="Arial"/>
          <w:color w:val="2C2C2C"/>
          <w:sz w:val="22"/>
          <w:szCs w:val="22"/>
        </w:rPr>
        <w:t xml:space="preserve">Campagnes de collecte en ligne et hors ligne.</w:t>
      </w:r>
    </w:p>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3.4  Section Bénévolat</w:t>
      </w:r>
    </w:p>
    <w:p>
      <w:pPr>
        <w:spacing w:after="60" w:before="60"/>
      </w:pPr>
      <w:r>
        <w:rPr>
          <w:rFonts w:ascii="Arial" w:cs="Arial" w:eastAsia="Arial" w:hAnsi="Arial"/>
          <w:b w:val="false"/>
          <w:bCs w:val="false"/>
          <w:color w:val="2C2C2C"/>
          <w:sz w:val="22"/>
          <w:szCs w:val="22"/>
        </w:rPr>
        <w:t xml:space="preserve">Les bénévoles sont le moteur de l'association. Un système de mandat court a été adopté pour maintenir un engagement authentique et éviter l'épuisement.</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3385"/>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Bénévole</w:t>
            </w:r>
          </w:p>
        </w:tc>
        <w:tc>
          <w:tcPr>
            <w:tcW w:type="dxa" w:w="3385"/>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Formateur</w:t>
            </w:r>
          </w:p>
        </w:tc>
      </w:tr>
      <w:tr>
        <w:tc>
          <w:tcPr>
            <w:tcW w:type="dxa" w:w="2256"/>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Durée du mandat</w:t>
            </w:r>
          </w:p>
        </w:tc>
        <w:tc>
          <w:tcPr>
            <w:tcW w:type="dxa" w:w="3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3 mois renouvelables</w:t>
            </w:r>
          </w:p>
        </w:tc>
        <w:tc>
          <w:tcPr>
            <w:tcW w:type="dxa" w:w="3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6 mois renouvelables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Renouvellement</w:t>
            </w:r>
          </w:p>
        </w:tc>
        <w:tc>
          <w:tcPr>
            <w:tcW w:type="dxa" w:w="33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Sur candidature volontaire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Après évaluation par le RS Formation</w:t>
            </w:r>
          </w:p>
        </w:tc>
      </w:tr>
      <w:tr>
        <w:tc>
          <w:tcPr>
            <w:tcW w:type="dxa" w:w="2256"/>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Onboarding</w:t>
            </w:r>
          </w:p>
        </w:tc>
        <w:tc>
          <w:tcPr>
            <w:tcW w:type="dxa" w:w="3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1 semaine de formation d'intégration</w:t>
            </w:r>
          </w:p>
        </w:tc>
        <w:tc>
          <w:tcPr>
            <w:tcW w:type="dxa" w:w="3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2 semaines de formation approfondie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Suivi</w:t>
            </w:r>
          </w:p>
        </w:tc>
        <w:tc>
          <w:tcPr>
            <w:tcW w:type="dxa" w:w="33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Bilan mensuel avec RS Bénévolat</w:t>
            </w:r>
          </w:p>
        </w:tc>
        <w:tc>
          <w:tcPr>
            <w:tcW w:type="dxa" w:w="338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Bilan mi-mandat + fin de mandat</w:t>
            </w:r>
          </w:p>
        </w:tc>
      </w:tr>
      <w:tr>
        <w:tc>
          <w:tcPr>
            <w:tcW w:type="dxa" w:w="2256"/>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Avantages</w:t>
            </w:r>
          </w:p>
        </w:tc>
        <w:tc>
          <w:tcPr>
            <w:tcW w:type="dxa" w:w="3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Attestation, réseau, références</w:t>
            </w:r>
          </w:p>
        </w:tc>
        <w:tc>
          <w:tcPr>
            <w:tcW w:type="dxa" w:w="338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Certificat officiel, mentorat, développement</w:t>
            </w:r>
          </w:p>
        </w:tc>
      </w:tr>
    </w:tbl>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3.5  Section Événementielle</w:t>
      </w:r>
    </w:p>
    <w:p>
      <w:pPr>
        <w:pStyle w:val="ListParagraph"/>
        <w:numPr>
          <w:ilvl w:val="0"/>
          <w:numId w:val="2"/>
        </w:numPr>
        <w:spacing w:after="40" w:before="40"/>
      </w:pPr>
      <w:r>
        <w:rPr>
          <w:rFonts w:ascii="Arial" w:cs="Arial" w:eastAsia="Arial" w:hAnsi="Arial"/>
          <w:color w:val="2C2C2C"/>
          <w:sz w:val="22"/>
          <w:szCs w:val="22"/>
        </w:rPr>
        <w:t xml:space="preserve">Planification et organisation des événements caritatifs, galas, tournois, concerts.</w:t>
      </w:r>
    </w:p>
    <w:p>
      <w:pPr>
        <w:pStyle w:val="ListParagraph"/>
        <w:numPr>
          <w:ilvl w:val="0"/>
          <w:numId w:val="2"/>
        </w:numPr>
        <w:spacing w:after="40" w:before="40"/>
      </w:pPr>
      <w:r>
        <w:rPr>
          <w:rFonts w:ascii="Arial" w:cs="Arial" w:eastAsia="Arial" w:hAnsi="Arial"/>
          <w:color w:val="2C2C2C"/>
          <w:sz w:val="22"/>
          <w:szCs w:val="22"/>
        </w:rPr>
        <w:t xml:space="preserve">Coordination avec la Section Communication pour la promotion des événements.</w:t>
      </w:r>
    </w:p>
    <w:p>
      <w:pPr>
        <w:pStyle w:val="ListParagraph"/>
        <w:numPr>
          <w:ilvl w:val="0"/>
          <w:numId w:val="2"/>
        </w:numPr>
        <w:spacing w:after="40" w:before="40"/>
      </w:pPr>
      <w:r>
        <w:rPr>
          <w:rFonts w:ascii="Arial" w:cs="Arial" w:eastAsia="Arial" w:hAnsi="Arial"/>
          <w:color w:val="2C2C2C"/>
          <w:sz w:val="22"/>
          <w:szCs w:val="22"/>
        </w:rPr>
        <w:t xml:space="preserve">Gestion logistique : lieux, fournisseurs, accréditations, bénévoles sur site.</w:t>
      </w:r>
    </w:p>
    <w:p>
      <w:pPr>
        <w:pStyle w:val="ListParagraph"/>
        <w:numPr>
          <w:ilvl w:val="0"/>
          <w:numId w:val="2"/>
        </w:numPr>
        <w:spacing w:after="40" w:before="40"/>
      </w:pPr>
      <w:r>
        <w:rPr>
          <w:rFonts w:ascii="Arial" w:cs="Arial" w:eastAsia="Arial" w:hAnsi="Arial"/>
          <w:color w:val="2C2C2C"/>
          <w:sz w:val="22"/>
          <w:szCs w:val="22"/>
        </w:rPr>
        <w:t xml:space="preserve">Compte-rendu financier de chaque événement transmis à la Section Finance.</w:t>
      </w:r>
    </w:p>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3.6  Section Finance</w:t>
      </w:r>
    </w:p>
    <w:p>
      <w:pPr>
        <w:pStyle w:val="ListParagraph"/>
        <w:numPr>
          <w:ilvl w:val="0"/>
          <w:numId w:val="2"/>
        </w:numPr>
        <w:spacing w:after="40" w:before="40"/>
      </w:pPr>
      <w:r>
        <w:rPr>
          <w:rFonts w:ascii="Arial" w:cs="Arial" w:eastAsia="Arial" w:hAnsi="Arial"/>
          <w:color w:val="2C2C2C"/>
          <w:sz w:val="22"/>
          <w:szCs w:val="22"/>
        </w:rPr>
        <w:t xml:space="preserve">Tenue de la comptabilité générale de l'association.</w:t>
      </w:r>
    </w:p>
    <w:p>
      <w:pPr>
        <w:pStyle w:val="ListParagraph"/>
        <w:numPr>
          <w:ilvl w:val="0"/>
          <w:numId w:val="2"/>
        </w:numPr>
        <w:spacing w:after="40" w:before="40"/>
      </w:pPr>
      <w:r>
        <w:rPr>
          <w:rFonts w:ascii="Arial" w:cs="Arial" w:eastAsia="Arial" w:hAnsi="Arial"/>
          <w:color w:val="2C2C2C"/>
          <w:sz w:val="22"/>
          <w:szCs w:val="22"/>
        </w:rPr>
        <w:t xml:space="preserve">Élaboration du budget annuel et suivi des dépenses par section.</w:t>
      </w:r>
    </w:p>
    <w:p>
      <w:pPr>
        <w:pStyle w:val="ListParagraph"/>
        <w:numPr>
          <w:ilvl w:val="0"/>
          <w:numId w:val="2"/>
        </w:numPr>
        <w:spacing w:after="40" w:before="40"/>
      </w:pPr>
      <w:r>
        <w:rPr>
          <w:rFonts w:ascii="Arial" w:cs="Arial" w:eastAsia="Arial" w:hAnsi="Arial"/>
          <w:color w:val="2C2C2C"/>
          <w:sz w:val="22"/>
          <w:szCs w:val="22"/>
        </w:rPr>
        <w:t xml:space="preserve">Rapport financier trimestriel communiqué à la direction et aux sections.</w:t>
      </w:r>
    </w:p>
    <w:p>
      <w:pPr>
        <w:pStyle w:val="ListParagraph"/>
        <w:numPr>
          <w:ilvl w:val="0"/>
          <w:numId w:val="2"/>
        </w:numPr>
        <w:spacing w:after="40" w:before="40"/>
      </w:pPr>
      <w:r>
        <w:rPr>
          <w:rFonts w:ascii="Arial" w:cs="Arial" w:eastAsia="Arial" w:hAnsi="Arial"/>
          <w:color w:val="2C2C2C"/>
          <w:sz w:val="22"/>
          <w:szCs w:val="22"/>
        </w:rPr>
        <w:t xml:space="preserve">Audit annuel interne et, si applicable, audit externe.</w:t>
      </w:r>
    </w:p>
    <w:p>
      <w:pPr>
        <w:pStyle w:val="ListParagraph"/>
        <w:numPr>
          <w:ilvl w:val="0"/>
          <w:numId w:val="2"/>
        </w:numPr>
        <w:spacing w:after="40" w:before="40"/>
      </w:pPr>
      <w:r>
        <w:rPr>
          <w:rFonts w:ascii="Arial" w:cs="Arial" w:eastAsia="Arial" w:hAnsi="Arial"/>
          <w:color w:val="2C2C2C"/>
          <w:sz w:val="22"/>
          <w:szCs w:val="22"/>
        </w:rPr>
        <w:t xml:space="preserve">Gestion des subventions, partenariats financiers et dons en espèces.</w:t>
      </w:r>
    </w:p>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3.7  Section Formation</w:t>
      </w:r>
    </w:p>
    <w:p>
      <w:pPr>
        <w:spacing w:after="60" w:before="60"/>
      </w:pPr>
      <w:r>
        <w:rPr>
          <w:rFonts w:ascii="Arial" w:cs="Arial" w:eastAsia="Arial" w:hAnsi="Arial"/>
          <w:b w:val="false"/>
          <w:bCs w:val="false"/>
          <w:color w:val="2C2C2C"/>
          <w:sz w:val="22"/>
          <w:szCs w:val="22"/>
        </w:rPr>
        <w:t xml:space="preserve">Les formateurs assurent le transfert de compétences et la montée en puissance des bénévoles et des membres de l'association.</w:t>
      </w:r>
    </w:p>
    <w:p>
      <w:pPr>
        <w:pStyle w:val="ListParagraph"/>
        <w:numPr>
          <w:ilvl w:val="0"/>
          <w:numId w:val="2"/>
        </w:numPr>
        <w:spacing w:after="40" w:before="40"/>
      </w:pPr>
      <w:r>
        <w:rPr>
          <w:rFonts w:ascii="Arial" w:cs="Arial" w:eastAsia="Arial" w:hAnsi="Arial"/>
          <w:color w:val="2C2C2C"/>
          <w:sz w:val="22"/>
          <w:szCs w:val="22"/>
        </w:rPr>
        <w:t xml:space="preserve">Conception et animation des programmes de formation (éducation, santé mentale, gestion de projet).</w:t>
      </w:r>
    </w:p>
    <w:p>
      <w:pPr>
        <w:pStyle w:val="ListParagraph"/>
        <w:numPr>
          <w:ilvl w:val="0"/>
          <w:numId w:val="2"/>
        </w:numPr>
        <w:spacing w:after="40" w:before="40"/>
      </w:pPr>
      <w:r>
        <w:rPr>
          <w:rFonts w:ascii="Arial" w:cs="Arial" w:eastAsia="Arial" w:hAnsi="Arial"/>
          <w:color w:val="2C2C2C"/>
          <w:sz w:val="22"/>
          <w:szCs w:val="22"/>
        </w:rPr>
        <w:t xml:space="preserve">Mandat de 6 mois permettant une transmission de qualité avant le renouvellement.</w:t>
      </w:r>
    </w:p>
    <w:p>
      <w:pPr>
        <w:pStyle w:val="ListParagraph"/>
        <w:numPr>
          <w:ilvl w:val="0"/>
          <w:numId w:val="2"/>
        </w:numPr>
        <w:spacing w:after="40" w:before="40"/>
      </w:pPr>
      <w:r>
        <w:rPr>
          <w:rFonts w:ascii="Arial" w:cs="Arial" w:eastAsia="Arial" w:hAnsi="Arial"/>
          <w:color w:val="2C2C2C"/>
          <w:sz w:val="22"/>
          <w:szCs w:val="22"/>
        </w:rPr>
        <w:t xml:space="preserve">Création d'une bibliothèque de ressources pédagogiques partagées entre pays.</w:t>
      </w:r>
    </w:p>
    <w:p>
      <w:pPr>
        <w:pStyle w:val="ListParagraph"/>
        <w:numPr>
          <w:ilvl w:val="0"/>
          <w:numId w:val="2"/>
        </w:numPr>
        <w:spacing w:after="40" w:before="40"/>
      </w:pPr>
      <w:r>
        <w:rPr>
          <w:rFonts w:ascii="Arial" w:cs="Arial" w:eastAsia="Arial" w:hAnsi="Arial"/>
          <w:color w:val="2C2C2C"/>
          <w:sz w:val="22"/>
          <w:szCs w:val="22"/>
        </w:rPr>
        <w:t xml:space="preserve">Coordination avec la Section Santé Mentale pour les formations bien-être.</w:t>
      </w:r>
    </w:p>
    <w:p>
      <w:r>
        <w:br w:type="page"/>
      </w:r>
    </w:p>
    <w:p>
      <w:pPr>
        <w:pStyle w:val="Heading1"/>
        <w:spacing w:after="120" w:before="360"/>
      </w:pPr>
      <w:r>
        <w:rPr>
          <w:rFonts w:ascii="Arial" w:cs="Arial" w:eastAsia="Arial" w:hAnsi="Arial"/>
          <w:b/>
          <w:bCs/>
          <w:color w:val="1B2A6B"/>
          <w:sz w:val="36"/>
          <w:szCs w:val="36"/>
        </w:rPr>
        <w:t xml:space="preserve">4. GESTION DES MEMBRES &amp; MANDATS</w:t>
      </w:r>
    </w:p>
    <w:p>
      <w:pPr>
        <w:pBdr>
          <w:bottom w:val="single" w:color="1B2A6B" w:sz="8" w:space="4"/>
        </w:pBdr>
        <w:spacing w:after="80" w:before="80"/>
      </w:pPr>
    </w:p>
    <w:p>
      <w:pPr>
        <w:spacing w:after="0" w:before="0"/>
      </w:pPr>
      <w:r>
        <w:rPr>
          <w:sz w:val="16"/>
          <w:szCs w:val="16"/>
        </w:rPr>
        <w:t xml:space="preserve"/>
      </w:r>
    </w:p>
    <w:p>
      <w:pPr>
        <w:pStyle w:val="Heading2"/>
        <w:spacing w:after="80" w:before="240"/>
      </w:pPr>
      <w:r>
        <w:rPr>
          <w:rFonts w:ascii="Arial" w:cs="Arial" w:eastAsia="Arial" w:hAnsi="Arial"/>
          <w:b/>
          <w:bCs/>
          <w:color w:val="2E9E6E"/>
          <w:sz w:val="28"/>
          <w:szCs w:val="28"/>
        </w:rPr>
        <w:t xml:space="preserve">4.1  Cycle de vie d'un bénévole (3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5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Période</w:t>
            </w:r>
          </w:p>
        </w:tc>
        <w:tc>
          <w:tcPr>
            <w:tcW w:type="dxa" w:w="5026"/>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Actions clés</w:t>
            </w:r>
          </w:p>
        </w:tc>
      </w:tr>
      <w:tr>
        <w:tc>
          <w:tcPr>
            <w:tcW w:type="dxa" w:w="1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Recrutement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Avant le mandat</w:t>
            </w:r>
          </w:p>
        </w:tc>
        <w:tc>
          <w:tcPr>
            <w:tcW w:type="dxa" w:w="5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Candidature en ligne, entretien, sélection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Intégration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Semaine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Formation d'accueil, présentation des sections, outils</w:t>
            </w:r>
          </w:p>
        </w:tc>
      </w:tr>
      <w:tr>
        <w:tc>
          <w:tcPr>
            <w:tcW w:type="dxa" w:w="1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Mission active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Semaines 2–10</w:t>
            </w:r>
          </w:p>
        </w:tc>
        <w:tc>
          <w:tcPr>
            <w:tcW w:type="dxa" w:w="5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Missions assignées, suivi mensuel, rapport d'activité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Bilan final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Semaines 11–12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Évaluation, attestation, proposition de renouvellement</w:t>
            </w:r>
          </w:p>
        </w:tc>
      </w:tr>
      <w:tr>
        <w:tc>
          <w:tcPr>
            <w:tcW w:type="dxa" w:w="1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Sortie/Renouvellement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Fin de mandat</w:t>
            </w:r>
          </w:p>
        </w:tc>
        <w:tc>
          <w:tcPr>
            <w:tcW w:type="dxa" w:w="5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Clôture ou nouveau mandat signé</w:t>
            </w:r>
          </w:p>
        </w:tc>
      </w:tr>
    </w:tbl>
    <w:p>
      <w:pPr>
        <w:spacing w:after="0" w:before="0"/>
      </w:pPr>
      <w:r>
        <w:rPr>
          <w:sz w:val="28"/>
          <w:szCs w:val="28"/>
        </w:rPr>
        <w:t xml:space="preserve"/>
      </w:r>
    </w:p>
    <w:p>
      <w:pPr>
        <w:pStyle w:val="Heading2"/>
        <w:spacing w:after="80" w:before="240"/>
      </w:pPr>
      <w:r>
        <w:rPr>
          <w:rFonts w:ascii="Arial" w:cs="Arial" w:eastAsia="Arial" w:hAnsi="Arial"/>
          <w:b/>
          <w:bCs/>
          <w:color w:val="2E9E6E"/>
          <w:sz w:val="28"/>
          <w:szCs w:val="28"/>
        </w:rPr>
        <w:t xml:space="preserve">4.2  Cycle de vie d'un formateur (6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5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Période</w:t>
            </w:r>
          </w:p>
        </w:tc>
        <w:tc>
          <w:tcPr>
            <w:tcW w:type="dxa" w:w="5026"/>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Actions clés</w:t>
            </w:r>
          </w:p>
        </w:tc>
      </w:tr>
      <w:tr>
        <w:tc>
          <w:tcPr>
            <w:tcW w:type="dxa" w:w="1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Sélection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Avant le mandat</w:t>
            </w:r>
          </w:p>
        </w:tc>
        <w:tc>
          <w:tcPr>
            <w:tcW w:type="dxa" w:w="5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Dossier, entretien de compétences, validation RS Formation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Formation intensive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Semaines 1–2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Formation pédagogique, connaissance des valeurs association</w:t>
            </w:r>
          </w:p>
        </w:tc>
      </w:tr>
      <w:tr>
        <w:tc>
          <w:tcPr>
            <w:tcW w:type="dxa" w:w="1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Animation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Mois 1–4</w:t>
            </w:r>
          </w:p>
        </w:tc>
        <w:tc>
          <w:tcPr>
            <w:tcW w:type="dxa" w:w="5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Animation des sessions, création de supports pédagogiques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Transmission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Mois 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Transfert des ressources, formation du successeur</w:t>
            </w:r>
          </w:p>
        </w:tc>
      </w:tr>
      <w:tr>
        <w:tc>
          <w:tcPr>
            <w:tcW w:type="dxa" w:w="1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Bilan &amp; Certification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Mois 6</w:t>
            </w:r>
          </w:p>
        </w:tc>
        <w:tc>
          <w:tcPr>
            <w:tcW w:type="dxa" w:w="5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Évaluation finale, certificat officiel, proposition renouvellement</w:t>
            </w:r>
          </w:p>
        </w:tc>
      </w:tr>
    </w:tbl>
    <w:p>
      <w:pPr>
        <w:spacing w:after="0" w:before="0"/>
      </w:pPr>
      <w:r>
        <w:rPr>
          <w:sz w:val="28"/>
          <w:szCs w:val="28"/>
        </w:rPr>
        <w:t xml:space="preserve"/>
      </w:r>
    </w:p>
    <w:p>
      <w:pPr>
        <w:pStyle w:val="Heading2"/>
        <w:spacing w:after="80" w:before="240"/>
      </w:pPr>
      <w:r>
        <w:rPr>
          <w:rFonts w:ascii="Arial" w:cs="Arial" w:eastAsia="Arial" w:hAnsi="Arial"/>
          <w:b/>
          <w:bCs/>
          <w:color w:val="2E9E6E"/>
          <w:sz w:val="28"/>
          <w:szCs w:val="28"/>
        </w:rPr>
        <w:t xml:space="preserve">4.3  Gestion des Influenceurs</w:t>
      </w:r>
    </w:p>
    <w:p>
      <w:pPr>
        <w:spacing w:after="60" w:before="60"/>
      </w:pPr>
      <w:r>
        <w:rPr>
          <w:rFonts w:ascii="Arial" w:cs="Arial" w:eastAsia="Arial" w:hAnsi="Arial"/>
          <w:b w:val="false"/>
          <w:bCs w:val="false"/>
          <w:color w:val="2C2C2C"/>
          <w:sz w:val="22"/>
          <w:szCs w:val="22"/>
        </w:rPr>
        <w:t xml:space="preserve">Les influenceurs membres bénéficient d'un statut spécial au sein de l'association, distinct des bénévoles classiques.</w:t>
      </w:r>
    </w:p>
    <w:p>
      <w:pPr>
        <w:pStyle w:val="ListParagraph"/>
        <w:numPr>
          <w:ilvl w:val="0"/>
          <w:numId w:val="2"/>
        </w:numPr>
        <w:spacing w:after="40" w:before="40"/>
      </w:pPr>
      <w:r>
        <w:rPr>
          <w:rFonts w:ascii="Arial" w:cs="Arial" w:eastAsia="Arial" w:hAnsi="Arial"/>
          <w:color w:val="2C2C2C"/>
          <w:sz w:val="22"/>
          <w:szCs w:val="22"/>
        </w:rPr>
        <w:t xml:space="preserve">Contrat de partenariat d'ambassadeur signé pour une durée d'un an renouvelable.</w:t>
      </w:r>
    </w:p>
    <w:p>
      <w:pPr>
        <w:pStyle w:val="ListParagraph"/>
        <w:numPr>
          <w:ilvl w:val="0"/>
          <w:numId w:val="2"/>
        </w:numPr>
        <w:spacing w:after="40" w:before="40"/>
      </w:pPr>
      <w:r>
        <w:rPr>
          <w:rFonts w:ascii="Arial" w:cs="Arial" w:eastAsia="Arial" w:hAnsi="Arial"/>
          <w:color w:val="2C2C2C"/>
          <w:sz w:val="22"/>
          <w:szCs w:val="22"/>
        </w:rPr>
        <w:t xml:space="preserve">Coordination directe avec la Section Communication (Département Réseaux Sociaux &amp; Influenceurs).</w:t>
      </w:r>
    </w:p>
    <w:p>
      <w:pPr>
        <w:pStyle w:val="ListParagraph"/>
        <w:numPr>
          <w:ilvl w:val="0"/>
          <w:numId w:val="2"/>
        </w:numPr>
        <w:spacing w:after="40" w:before="40"/>
      </w:pPr>
      <w:r>
        <w:rPr>
          <w:rFonts w:ascii="Arial" w:cs="Arial" w:eastAsia="Arial" w:hAnsi="Arial"/>
          <w:color w:val="2C2C2C"/>
          <w:sz w:val="22"/>
          <w:szCs w:val="22"/>
        </w:rPr>
        <w:t xml:space="preserve">Briefing mensuel des actions à promouvoir, campagnes et événements.</w:t>
      </w:r>
    </w:p>
    <w:p>
      <w:pPr>
        <w:pStyle w:val="ListParagraph"/>
        <w:numPr>
          <w:ilvl w:val="0"/>
          <w:numId w:val="2"/>
        </w:numPr>
        <w:spacing w:after="40" w:before="40"/>
      </w:pPr>
      <w:r>
        <w:rPr>
          <w:rFonts w:ascii="Arial" w:cs="Arial" w:eastAsia="Arial" w:hAnsi="Arial"/>
          <w:color w:val="2C2C2C"/>
          <w:sz w:val="22"/>
          <w:szCs w:val="22"/>
        </w:rPr>
        <w:t xml:space="preserve">Accès à un kit de communication exclusif (visuels, messages clés, hashtags officiels).</w:t>
      </w:r>
    </w:p>
    <w:p>
      <w:pPr>
        <w:pStyle w:val="ListParagraph"/>
        <w:numPr>
          <w:ilvl w:val="0"/>
          <w:numId w:val="2"/>
        </w:numPr>
        <w:spacing w:after="40" w:before="40"/>
      </w:pPr>
      <w:r>
        <w:rPr>
          <w:rFonts w:ascii="Arial" w:cs="Arial" w:eastAsia="Arial" w:hAnsi="Arial"/>
          <w:color w:val="2C2C2C"/>
          <w:sz w:val="22"/>
          <w:szCs w:val="22"/>
        </w:rPr>
        <w:t xml:space="preserve">Rapport trimestriel de performance (portée, impressions, conversions dons).</w:t>
      </w:r>
    </w:p>
    <w:p>
      <w:r>
        <w:br w:type="page"/>
      </w:r>
    </w:p>
    <w:p>
      <w:pPr>
        <w:pStyle w:val="Heading1"/>
        <w:spacing w:after="120" w:before="360"/>
      </w:pPr>
      <w:r>
        <w:rPr>
          <w:rFonts w:ascii="Arial" w:cs="Arial" w:eastAsia="Arial" w:hAnsi="Arial"/>
          <w:b/>
          <w:bCs/>
          <w:color w:val="1B2A6B"/>
          <w:sz w:val="36"/>
          <w:szCs w:val="36"/>
        </w:rPr>
        <w:t xml:space="preserve">5. ORGANIGRAMME GÉNÉRAL</w:t>
      </w:r>
    </w:p>
    <w:p>
      <w:pPr>
        <w:pBdr>
          <w:bottom w:val="single" w:color="1B2A6B" w:sz="8" w:space="4"/>
        </w:pBdr>
        <w:spacing w:after="80" w:before="80"/>
      </w:pPr>
    </w:p>
    <w:p>
      <w:pPr>
        <w:spacing w:after="0" w:before="0"/>
      </w:pPr>
      <w:r>
        <w:rPr>
          <w:sz w:val="16"/>
          <w:szCs w:val="16"/>
        </w:rPr>
        <w:t xml:space="preserve"/>
      </w:r>
    </w:p>
    <w:p>
      <w:pPr>
        <w:spacing w:after="60" w:before="60"/>
      </w:pPr>
      <w:r>
        <w:rPr>
          <w:rFonts w:ascii="Arial" w:cs="Arial" w:eastAsia="Arial" w:hAnsi="Arial"/>
          <w:b w:val="false"/>
          <w:bCs w:val="false"/>
          <w:color w:val="2C2C2C"/>
          <w:sz w:val="22"/>
          <w:szCs w:val="22"/>
        </w:rPr>
        <w:t xml:space="preserve">La hiérarchie décisionnelle et fonctionnelle de l'association.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A6B" w:sz="1"/>
              <w:left w:val="single" w:color="1B2A6B" w:sz="1"/>
              <w:bottom w:val="single" w:color="1B2A6B" w:sz="1"/>
              <w:right w:val="single" w:color="1B2A6B" w:sz="1"/>
            </w:tcBorders>
            <w:shd w:fill="1B2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PRÉSIDENCE GÉNÉRALE  |  Fondatrice</w:t>
            </w:r>
          </w:p>
        </w:tc>
      </w:tr>
    </w:tbl>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A6B" w:sz="1"/>
              <w:left w:val="single" w:color="1B2A6B" w:sz="1"/>
              <w:bottom w:val="single" w:color="1B2A6B" w:sz="1"/>
              <w:right w:val="single" w:color="1B2A6B" w:sz="1"/>
            </w:tcBorders>
            <w:shd w:fill="D0D7F0" w:val="clear"/>
            <w:tcMar>
              <w:top w:type="dxa" w:w="100"/>
              <w:left w:type="dxa" w:w="200"/>
              <w:bottom w:type="dxa" w:w="100"/>
              <w:right w:type="dxa" w:w="200"/>
            </w:tcMar>
          </w:tcPr>
          <w:p>
            <w:pPr>
              <w:jc w:val="center"/>
            </w:pPr>
            <w:r>
              <w:rPr>
                <w:rFonts w:ascii="Arial" w:cs="Arial" w:eastAsia="Arial" w:hAnsi="Arial"/>
                <w:b/>
                <w:bCs/>
                <w:color w:val="1B2A6B"/>
                <w:sz w:val="24"/>
                <w:szCs w:val="24"/>
              </w:rPr>
              <w:t xml:space="preserve">COMITÉ DIRECTEUR INTERNATIONAL</w:t>
            </w:r>
          </w:p>
        </w:tc>
      </w:tr>
    </w:tbl>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9E6E" w:sz="1"/>
              <w:left w:val="single" w:color="2E9E6E" w:sz="1"/>
              <w:bottom w:val="single" w:color="2E9E6E" w:sz="1"/>
              <w:right w:val="single" w:color="2E9E6E" w:sz="1"/>
            </w:tcBorders>
            <w:shd w:fill="C8ECD8" w:val="clear"/>
            <w:tcMar>
              <w:top w:type="dxa" w:w="100"/>
              <w:left w:type="dxa" w:w="140"/>
              <w:bottom w:type="dxa" w:w="100"/>
              <w:right w:type="dxa" w:w="140"/>
            </w:tcMar>
          </w:tcPr>
          <w:p>
            <w:pPr>
              <w:jc w:val="center"/>
            </w:pPr>
            <w:r>
              <w:rPr>
                <w:rFonts w:ascii="Arial" w:cs="Arial" w:eastAsia="Arial" w:hAnsi="Arial"/>
                <w:b/>
                <w:bCs/>
                <w:color w:val="2E9E6E"/>
                <w:sz w:val="22"/>
                <w:szCs w:val="22"/>
              </w:rPr>
              <w:t xml:space="preserve">PAYS ACTIFS</w:t>
            </w:r>
          </w:p>
          <w:p>
            <w:pPr>
              <w:jc w:val="center"/>
            </w:pPr>
            <w:r>
              <w:rPr>
                <w:rFonts w:ascii="Arial" w:cs="Arial" w:eastAsia="Arial" w:hAnsi="Arial"/>
                <w:color w:val="2C2C2C"/>
                <w:sz w:val="20"/>
                <w:szCs w:val="20"/>
              </w:rPr>
              <w:t xml:space="preserve">Burkina Faso  •  Côte d'Ivoire  •  Niger</w:t>
            </w:r>
          </w:p>
        </w:tc>
        <w:tc>
          <w:tcPr>
            <w:tcW w:type="dxa" w:w="4513"/>
            <w:tcBorders>
              <w:top w:val="single" w:color="C9922A" w:sz="1"/>
              <w:left w:val="single" w:color="C9922A" w:sz="1"/>
              <w:bottom w:val="single" w:color="C9922A" w:sz="1"/>
              <w:right w:val="single" w:color="C9922A" w:sz="1"/>
            </w:tcBorders>
            <w:shd w:fill="FDF3E0" w:val="clear"/>
            <w:tcMar>
              <w:top w:type="dxa" w:w="100"/>
              <w:left w:type="dxa" w:w="140"/>
              <w:bottom w:type="dxa" w:w="100"/>
              <w:right w:type="dxa" w:w="140"/>
            </w:tcMar>
          </w:tcPr>
          <w:p>
            <w:pPr>
              <w:jc w:val="center"/>
            </w:pPr>
            <w:r>
              <w:rPr>
                <w:rFonts w:ascii="Arial" w:cs="Arial" w:eastAsia="Arial" w:hAnsi="Arial"/>
                <w:b/>
                <w:bCs/>
                <w:color w:val="C9922A"/>
                <w:sz w:val="22"/>
                <w:szCs w:val="22"/>
              </w:rPr>
              <w:t xml:space="preserve">EXTENSIONS PRÉVUES</w:t>
            </w:r>
          </w:p>
          <w:p>
            <w:pPr>
              <w:jc w:val="center"/>
            </w:pPr>
            <w:r>
              <w:rPr>
                <w:rFonts w:ascii="Arial" w:cs="Arial" w:eastAsia="Arial" w:hAnsi="Arial"/>
                <w:color w:val="2C2C2C"/>
                <w:sz w:val="20"/>
                <w:szCs w:val="20"/>
              </w:rPr>
              <w:t xml:space="preserve">Maroc  •  Canada  •  France  •  Angleterre  •  Russie</w:t>
            </w:r>
          </w:p>
        </w:tc>
      </w:tr>
    </w:tbl>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200"/>
              <w:bottom w:type="dxa" w:w="80"/>
              <w:right w:type="dxa" w:w="200"/>
            </w:tcMar>
          </w:tcPr>
          <w:p>
            <w:pPr>
              <w:jc w:val="center"/>
            </w:pPr>
            <w:r>
              <w:rPr>
                <w:rFonts w:ascii="Arial" w:cs="Arial" w:eastAsia="Arial" w:hAnsi="Arial"/>
                <w:b/>
                <w:bCs/>
                <w:color w:val="2C2C2C"/>
                <w:sz w:val="22"/>
                <w:szCs w:val="22"/>
              </w:rPr>
              <w:t xml:space="preserve">PAR PAYS  :  DÉLÉGUÉ NATIONAL  →  7 SECTIONS</w:t>
            </w:r>
          </w:p>
        </w:tc>
      </w:tr>
    </w:tbl>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1B2A6B" w:sz="1"/>
              <w:left w:val="single" w:color="1B2A6B" w:sz="1"/>
              <w:bottom w:val="single" w:color="1B2A6B" w:sz="1"/>
              <w:right w:val="single" w:color="1B2A6B" w:sz="1"/>
            </w:tcBorders>
            <w:shd w:fill="1B2A6B" w:val="clear"/>
            <w:tcMar>
              <w:top w:type="dxa" w:w="80"/>
              <w:left w:type="dxa" w:w="40"/>
              <w:bottom w:type="dxa" w:w="80"/>
              <w:right w:type="dxa" w:w="40"/>
            </w:tcMar>
          </w:tcPr>
          <w:p>
            <w:pPr>
              <w:jc w:val="center"/>
            </w:pPr>
            <w:r>
              <w:rPr>
                <w:rFonts w:ascii="Arial" w:cs="Arial" w:eastAsia="Arial" w:hAnsi="Arial"/>
                <w:b/>
                <w:bCs/>
                <w:color w:val="FFFFFF"/>
                <w:sz w:val="17"/>
                <w:szCs w:val="17"/>
              </w:rPr>
              <w:t xml:space="preserve">Communication</w:t>
            </w:r>
          </w:p>
        </w:tc>
        <w:tc>
          <w:tcPr>
            <w:tcW w:type="dxa" w:w="1289"/>
            <w:tcBorders>
              <w:top w:val="single" w:color="2E9E6E" w:sz="1"/>
              <w:left w:val="single" w:color="2E9E6E" w:sz="1"/>
              <w:bottom w:val="single" w:color="2E9E6E" w:sz="1"/>
              <w:right w:val="single" w:color="2E9E6E" w:sz="1"/>
            </w:tcBorders>
            <w:shd w:fill="2E9E6E" w:val="clear"/>
            <w:tcMar>
              <w:top w:type="dxa" w:w="80"/>
              <w:left w:type="dxa" w:w="40"/>
              <w:bottom w:type="dxa" w:w="80"/>
              <w:right w:type="dxa" w:w="40"/>
            </w:tcMar>
          </w:tcPr>
          <w:p>
            <w:pPr>
              <w:jc w:val="center"/>
            </w:pPr>
            <w:r>
              <w:rPr>
                <w:rFonts w:ascii="Arial" w:cs="Arial" w:eastAsia="Arial" w:hAnsi="Arial"/>
                <w:b/>
                <w:bCs/>
                <w:color w:val="FFFFFF"/>
                <w:sz w:val="17"/>
                <w:szCs w:val="17"/>
              </w:rPr>
              <w:t xml:space="preserve">Santé Mentale</w:t>
            </w:r>
          </w:p>
        </w:tc>
        <w:tc>
          <w:tcPr>
            <w:tcW w:type="dxa" w:w="1289"/>
            <w:tcBorders>
              <w:top w:val="single" w:color="C9922A" w:sz="1"/>
              <w:left w:val="single" w:color="C9922A" w:sz="1"/>
              <w:bottom w:val="single" w:color="C9922A" w:sz="1"/>
              <w:right w:val="single" w:color="C9922A" w:sz="1"/>
            </w:tcBorders>
            <w:shd w:fill="C9922A" w:val="clear"/>
            <w:tcMar>
              <w:top w:type="dxa" w:w="80"/>
              <w:left w:type="dxa" w:w="40"/>
              <w:bottom w:type="dxa" w:w="80"/>
              <w:right w:type="dxa" w:w="40"/>
            </w:tcMar>
          </w:tcPr>
          <w:p>
            <w:pPr>
              <w:jc w:val="center"/>
            </w:pPr>
            <w:r>
              <w:rPr>
                <w:rFonts w:ascii="Arial" w:cs="Arial" w:eastAsia="Arial" w:hAnsi="Arial"/>
                <w:b/>
                <w:bCs/>
                <w:color w:val="FFFFFF"/>
                <w:sz w:val="17"/>
                <w:szCs w:val="17"/>
              </w:rPr>
              <w:t xml:space="preserve">Don</w:t>
            </w:r>
          </w:p>
        </w:tc>
        <w:tc>
          <w:tcPr>
            <w:tcW w:type="dxa" w:w="1289"/>
            <w:tcBorders>
              <w:top w:val="single" w:color="7B5EA7" w:sz="1"/>
              <w:left w:val="single" w:color="7B5EA7" w:sz="1"/>
              <w:bottom w:val="single" w:color="7B5EA7" w:sz="1"/>
              <w:right w:val="single" w:color="7B5EA7" w:sz="1"/>
            </w:tcBorders>
            <w:shd w:fill="7B5EA7" w:val="clear"/>
            <w:tcMar>
              <w:top w:type="dxa" w:w="80"/>
              <w:left w:type="dxa" w:w="40"/>
              <w:bottom w:type="dxa" w:w="80"/>
              <w:right w:type="dxa" w:w="40"/>
            </w:tcMar>
          </w:tcPr>
          <w:p>
            <w:pPr>
              <w:jc w:val="center"/>
            </w:pPr>
            <w:r>
              <w:rPr>
                <w:rFonts w:ascii="Arial" w:cs="Arial" w:eastAsia="Arial" w:hAnsi="Arial"/>
                <w:b/>
                <w:bCs/>
                <w:color w:val="FFFFFF"/>
                <w:sz w:val="17"/>
                <w:szCs w:val="17"/>
              </w:rPr>
              <w:t xml:space="preserve">Bénévolat</w:t>
            </w:r>
          </w:p>
        </w:tc>
        <w:tc>
          <w:tcPr>
            <w:tcW w:type="dxa" w:w="1289"/>
            <w:tcBorders>
              <w:top w:val="single" w:color="C0392B" w:sz="1"/>
              <w:left w:val="single" w:color="C0392B" w:sz="1"/>
              <w:bottom w:val="single" w:color="C0392B" w:sz="1"/>
              <w:right w:val="single" w:color="C0392B" w:sz="1"/>
            </w:tcBorders>
            <w:shd w:fill="C0392B" w:val="clear"/>
            <w:tcMar>
              <w:top w:type="dxa" w:w="80"/>
              <w:left w:type="dxa" w:w="40"/>
              <w:bottom w:type="dxa" w:w="80"/>
              <w:right w:type="dxa" w:w="40"/>
            </w:tcMar>
          </w:tcPr>
          <w:p>
            <w:pPr>
              <w:jc w:val="center"/>
            </w:pPr>
            <w:r>
              <w:rPr>
                <w:rFonts w:ascii="Arial" w:cs="Arial" w:eastAsia="Arial" w:hAnsi="Arial"/>
                <w:b/>
                <w:bCs/>
                <w:color w:val="FFFFFF"/>
                <w:sz w:val="17"/>
                <w:szCs w:val="17"/>
              </w:rPr>
              <w:t xml:space="preserve">Événementiel</w:t>
            </w:r>
          </w:p>
        </w:tc>
        <w:tc>
          <w:tcPr>
            <w:tcW w:type="dxa" w:w="1289"/>
            <w:tcBorders>
              <w:top w:val="single" w:color="1A6B8A" w:sz="1"/>
              <w:left w:val="single" w:color="1A6B8A" w:sz="1"/>
              <w:bottom w:val="single" w:color="1A6B8A" w:sz="1"/>
              <w:right w:val="single" w:color="1A6B8A" w:sz="1"/>
            </w:tcBorders>
            <w:shd w:fill="1A6B8A" w:val="clear"/>
            <w:tcMar>
              <w:top w:type="dxa" w:w="80"/>
              <w:left w:type="dxa" w:w="40"/>
              <w:bottom w:type="dxa" w:w="80"/>
              <w:right w:type="dxa" w:w="40"/>
            </w:tcMar>
          </w:tcPr>
          <w:p>
            <w:pPr>
              <w:jc w:val="center"/>
            </w:pPr>
            <w:r>
              <w:rPr>
                <w:rFonts w:ascii="Arial" w:cs="Arial" w:eastAsia="Arial" w:hAnsi="Arial"/>
                <w:b/>
                <w:bCs/>
                <w:color w:val="FFFFFF"/>
                <w:sz w:val="17"/>
                <w:szCs w:val="17"/>
              </w:rPr>
              <w:t xml:space="preserve">Finance</w:t>
            </w:r>
          </w:p>
        </w:tc>
        <w:tc>
          <w:tcPr>
            <w:tcW w:type="dxa" w:w="1292"/>
            <w:tcBorders>
              <w:top w:val="single" w:color="7D5E2E" w:sz="1"/>
              <w:left w:val="single" w:color="7D5E2E" w:sz="1"/>
              <w:bottom w:val="single" w:color="7D5E2E" w:sz="1"/>
              <w:right w:val="single" w:color="7D5E2E" w:sz="1"/>
            </w:tcBorders>
            <w:shd w:fill="7D5E2E" w:val="clear"/>
            <w:tcMar>
              <w:top w:type="dxa" w:w="80"/>
              <w:left w:type="dxa" w:w="40"/>
              <w:bottom w:type="dxa" w:w="80"/>
              <w:right w:type="dxa" w:w="40"/>
            </w:tcMar>
          </w:tcPr>
          <w:p>
            <w:pPr>
              <w:jc w:val="center"/>
            </w:pPr>
            <w:r>
              <w:rPr>
                <w:rFonts w:ascii="Arial" w:cs="Arial" w:eastAsia="Arial" w:hAnsi="Arial"/>
                <w:b/>
                <w:bCs/>
                <w:color w:val="FFFFFF"/>
                <w:sz w:val="17"/>
                <w:szCs w:val="17"/>
              </w:rPr>
              <w:t xml:space="preserve">Formation</w:t>
            </w:r>
          </w:p>
        </w:tc>
      </w:tr>
    </w:tbl>
    <w:p>
      <w:r>
        <w:br w:type="page"/>
      </w:r>
    </w:p>
    <w:p>
      <w:pPr>
        <w:pStyle w:val="Heading1"/>
        <w:spacing w:after="120" w:before="360"/>
      </w:pPr>
      <w:r>
        <w:rPr>
          <w:rFonts w:ascii="Arial" w:cs="Arial" w:eastAsia="Arial" w:hAnsi="Arial"/>
          <w:b/>
          <w:bCs/>
          <w:color w:val="1B2A6B"/>
          <w:sz w:val="36"/>
          <w:szCs w:val="36"/>
        </w:rPr>
        <w:t xml:space="preserve">6. RÈGLES DE FONCTIONNEMENT</w:t>
      </w:r>
    </w:p>
    <w:p>
      <w:pPr>
        <w:pBdr>
          <w:bottom w:val="single" w:color="1B2A6B" w:sz="8" w:space="4"/>
        </w:pBdr>
        <w:spacing w:after="80" w:before="80"/>
      </w:pPr>
    </w:p>
    <w:p>
      <w:pPr>
        <w:spacing w:after="0" w:before="0"/>
      </w:pPr>
      <w:r>
        <w:rPr>
          <w:sz w:val="16"/>
          <w:szCs w:val="16"/>
        </w:rPr>
        <w:t xml:space="preserve"/>
      </w:r>
    </w:p>
    <w:p>
      <w:pPr>
        <w:pStyle w:val="Heading2"/>
        <w:spacing w:after="80" w:before="240"/>
      </w:pPr>
      <w:r>
        <w:rPr>
          <w:rFonts w:ascii="Arial" w:cs="Arial" w:eastAsia="Arial" w:hAnsi="Arial"/>
          <w:b/>
          <w:bCs/>
          <w:color w:val="2E9E6E"/>
          <w:sz w:val="28"/>
          <w:szCs w:val="28"/>
        </w:rPr>
        <w:t xml:space="preserve">6.1  Réunions</w:t>
      </w:r>
    </w:p>
    <w:p>
      <w:pPr>
        <w:pStyle w:val="ListParagraph"/>
        <w:numPr>
          <w:ilvl w:val="0"/>
          <w:numId w:val="2"/>
        </w:numPr>
        <w:spacing w:after="40" w:before="40"/>
      </w:pPr>
      <w:r>
        <w:rPr>
          <w:rFonts w:ascii="Arial" w:cs="Arial" w:eastAsia="Arial" w:hAnsi="Arial"/>
          <w:color w:val="2C2C2C"/>
          <w:sz w:val="22"/>
          <w:szCs w:val="22"/>
        </w:rPr>
        <w:t xml:space="preserve">Réunion du Comité Directeur International : mensuelle (visioconférence).</w:t>
      </w:r>
    </w:p>
    <w:p>
      <w:pPr>
        <w:pStyle w:val="ListParagraph"/>
        <w:numPr>
          <w:ilvl w:val="0"/>
          <w:numId w:val="2"/>
        </w:numPr>
        <w:spacing w:after="40" w:before="40"/>
      </w:pPr>
      <w:r>
        <w:rPr>
          <w:rFonts w:ascii="Arial" w:cs="Arial" w:eastAsia="Arial" w:hAnsi="Arial"/>
          <w:color w:val="2C2C2C"/>
          <w:sz w:val="22"/>
          <w:szCs w:val="22"/>
        </w:rPr>
        <w:t xml:space="preserve">Réunion des Délégués Nationaux : trimestrielle.</w:t>
      </w:r>
    </w:p>
    <w:p>
      <w:pPr>
        <w:pStyle w:val="ListParagraph"/>
        <w:numPr>
          <w:ilvl w:val="0"/>
          <w:numId w:val="2"/>
        </w:numPr>
        <w:spacing w:after="40" w:before="40"/>
      </w:pPr>
      <w:r>
        <w:rPr>
          <w:rFonts w:ascii="Arial" w:cs="Arial" w:eastAsia="Arial" w:hAnsi="Arial"/>
          <w:color w:val="2C2C2C"/>
          <w:sz w:val="22"/>
          <w:szCs w:val="22"/>
        </w:rPr>
        <w:t xml:space="preserve">Réunion des Responsables de Section (par pays) : bimensuelle.</w:t>
      </w:r>
    </w:p>
    <w:p>
      <w:pPr>
        <w:pStyle w:val="ListParagraph"/>
        <w:numPr>
          <w:ilvl w:val="0"/>
          <w:numId w:val="2"/>
        </w:numPr>
        <w:spacing w:after="40" w:before="40"/>
      </w:pPr>
      <w:r>
        <w:rPr>
          <w:rFonts w:ascii="Arial" w:cs="Arial" w:eastAsia="Arial" w:hAnsi="Arial"/>
          <w:color w:val="2C2C2C"/>
          <w:sz w:val="22"/>
          <w:szCs w:val="22"/>
        </w:rPr>
        <w:t xml:space="preserve">Assemblée Générale annuelle : bilan global, élections, orientations stratégiques.</w:t>
      </w:r>
    </w:p>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6.2  Prise de décision</w:t>
      </w:r>
    </w:p>
    <w:p>
      <w:pPr>
        <w:pStyle w:val="ListParagraph"/>
        <w:numPr>
          <w:ilvl w:val="0"/>
          <w:numId w:val="2"/>
        </w:numPr>
        <w:spacing w:after="40" w:before="40"/>
      </w:pPr>
      <w:r>
        <w:rPr>
          <w:rFonts w:ascii="Arial" w:cs="Arial" w:eastAsia="Arial" w:hAnsi="Arial"/>
          <w:color w:val="2C2C2C"/>
          <w:sz w:val="22"/>
          <w:szCs w:val="22"/>
        </w:rPr>
        <w:t xml:space="preserve">Décisions stratégiques : votées par le Comité Directeur International (majorité simple).</w:t>
      </w:r>
    </w:p>
    <w:p>
      <w:pPr>
        <w:pStyle w:val="ListParagraph"/>
        <w:numPr>
          <w:ilvl w:val="0"/>
          <w:numId w:val="2"/>
        </w:numPr>
        <w:spacing w:after="40" w:before="40"/>
      </w:pPr>
      <w:r>
        <w:rPr>
          <w:rFonts w:ascii="Arial" w:cs="Arial" w:eastAsia="Arial" w:hAnsi="Arial"/>
          <w:color w:val="2C2C2C"/>
          <w:sz w:val="22"/>
          <w:szCs w:val="22"/>
        </w:rPr>
        <w:t xml:space="preserve">Décisions opérationnelles par pays : sous autorité du Délégué National.</w:t>
      </w:r>
    </w:p>
    <w:p>
      <w:pPr>
        <w:pStyle w:val="ListParagraph"/>
        <w:numPr>
          <w:ilvl w:val="0"/>
          <w:numId w:val="2"/>
        </w:numPr>
        <w:spacing w:after="40" w:before="40"/>
      </w:pPr>
      <w:r>
        <w:rPr>
          <w:rFonts w:ascii="Arial" w:cs="Arial" w:eastAsia="Arial" w:hAnsi="Arial"/>
          <w:color w:val="2C2C2C"/>
          <w:sz w:val="22"/>
          <w:szCs w:val="22"/>
        </w:rPr>
        <w:t xml:space="preserve">Décisions de section : sous autorité du Responsable de Section.</w:t>
      </w:r>
    </w:p>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6.3  Communication officielle</w:t>
      </w:r>
    </w:p>
    <w:p>
      <w:pPr>
        <w:pStyle w:val="ListParagraph"/>
        <w:numPr>
          <w:ilvl w:val="0"/>
          <w:numId w:val="2"/>
        </w:numPr>
        <w:spacing w:after="40" w:before="40"/>
      </w:pPr>
      <w:r>
        <w:rPr>
          <w:rFonts w:ascii="Arial" w:cs="Arial" w:eastAsia="Arial" w:hAnsi="Arial"/>
          <w:color w:val="2C2C2C"/>
          <w:sz w:val="22"/>
          <w:szCs w:val="22"/>
        </w:rPr>
        <w:t xml:space="preserve">Toute communication externe engage la Section Communication.</w:t>
      </w:r>
    </w:p>
    <w:p>
      <w:pPr>
        <w:pStyle w:val="ListParagraph"/>
        <w:numPr>
          <w:ilvl w:val="0"/>
          <w:numId w:val="2"/>
        </w:numPr>
        <w:spacing w:after="40" w:before="40"/>
      </w:pPr>
      <w:r>
        <w:rPr>
          <w:rFonts w:ascii="Arial" w:cs="Arial" w:eastAsia="Arial" w:hAnsi="Arial"/>
          <w:color w:val="2C2C2C"/>
          <w:sz w:val="22"/>
          <w:szCs w:val="22"/>
        </w:rPr>
        <w:t xml:space="preserve">Les influenceurs ne communiquent que sur la base des briefs approuvés par le RS Communication.</w:t>
      </w:r>
    </w:p>
    <w:p>
      <w:pPr>
        <w:pStyle w:val="ListParagraph"/>
        <w:numPr>
          <w:ilvl w:val="0"/>
          <w:numId w:val="2"/>
        </w:numPr>
        <w:spacing w:after="40" w:before="40"/>
      </w:pPr>
      <w:r>
        <w:rPr>
          <w:rFonts w:ascii="Arial" w:cs="Arial" w:eastAsia="Arial" w:hAnsi="Arial"/>
          <w:color w:val="2C2C2C"/>
          <w:sz w:val="22"/>
          <w:szCs w:val="22"/>
        </w:rPr>
        <w:t xml:space="preserve">Les Délégués Nationaux sont les seuls interlocuteurs officiels dans leur pays.</w:t>
      </w:r>
    </w:p>
    <w:p>
      <w:pPr>
        <w:spacing w:after="0" w:before="0"/>
      </w:pPr>
      <w:r>
        <w:rPr>
          <w:sz w:val="20"/>
          <w:szCs w:val="20"/>
        </w:rPr>
        <w:t xml:space="preserve"/>
      </w:r>
    </w:p>
    <w:p>
      <w:pPr>
        <w:pStyle w:val="Heading2"/>
        <w:spacing w:after="80" w:before="240"/>
      </w:pPr>
      <w:r>
        <w:rPr>
          <w:rFonts w:ascii="Arial" w:cs="Arial" w:eastAsia="Arial" w:hAnsi="Arial"/>
          <w:b/>
          <w:bCs/>
          <w:color w:val="2E9E6E"/>
          <w:sz w:val="28"/>
          <w:szCs w:val="28"/>
        </w:rPr>
        <w:t xml:space="preserve">6.4  Gestion des conflits</w:t>
      </w:r>
    </w:p>
    <w:p>
      <w:pPr>
        <w:pStyle w:val="ListParagraph"/>
        <w:numPr>
          <w:ilvl w:val="0"/>
          <w:numId w:val="2"/>
        </w:numPr>
        <w:spacing w:after="40" w:before="40"/>
      </w:pPr>
      <w:r>
        <w:rPr>
          <w:rFonts w:ascii="Arial" w:cs="Arial" w:eastAsia="Arial" w:hAnsi="Arial"/>
          <w:color w:val="2C2C2C"/>
          <w:sz w:val="22"/>
          <w:szCs w:val="22"/>
        </w:rPr>
        <w:t xml:space="preserve">Tout conflit interne est d'abord traité au niveau du RS concerné.</w:t>
      </w:r>
    </w:p>
    <w:p>
      <w:pPr>
        <w:pStyle w:val="ListParagraph"/>
        <w:numPr>
          <w:ilvl w:val="0"/>
          <w:numId w:val="2"/>
        </w:numPr>
        <w:spacing w:after="40" w:before="40"/>
      </w:pPr>
      <w:r>
        <w:rPr>
          <w:rFonts w:ascii="Arial" w:cs="Arial" w:eastAsia="Arial" w:hAnsi="Arial"/>
          <w:color w:val="2C2C2C"/>
          <w:sz w:val="22"/>
          <w:szCs w:val="22"/>
        </w:rPr>
        <w:t xml:space="preserve">En cas d'escalade, le Délégué National arbitre.</w:t>
      </w:r>
    </w:p>
    <w:p>
      <w:pPr>
        <w:pStyle w:val="ListParagraph"/>
        <w:numPr>
          <w:ilvl w:val="0"/>
          <w:numId w:val="2"/>
        </w:numPr>
        <w:spacing w:after="40" w:before="40"/>
      </w:pPr>
      <w:r>
        <w:rPr>
          <w:rFonts w:ascii="Arial" w:cs="Arial" w:eastAsia="Arial" w:hAnsi="Arial"/>
          <w:color w:val="2C2C2C"/>
          <w:sz w:val="22"/>
          <w:szCs w:val="22"/>
        </w:rPr>
        <w:t xml:space="preserve">En dernier recours, le Comité Directeur International tranche.</w:t>
      </w:r>
    </w:p>
    <w:p>
      <w:r>
        <w:br w:type="page"/>
      </w:r>
    </w:p>
    <w:p>
      <w:pPr>
        <w:pStyle w:val="Heading1"/>
        <w:spacing w:after="120" w:before="360"/>
      </w:pPr>
      <w:r>
        <w:rPr>
          <w:rFonts w:ascii="Arial" w:cs="Arial" w:eastAsia="Arial" w:hAnsi="Arial"/>
          <w:b/>
          <w:bCs/>
          <w:color w:val="1B2A6B"/>
          <w:sz w:val="36"/>
          <w:szCs w:val="36"/>
        </w:rPr>
        <w:t xml:space="preserve">7. FEUILLE DE ROUTE — PROCHAINES ÉTAPES</w:t>
      </w:r>
    </w:p>
    <w:p>
      <w:pPr>
        <w:pBdr>
          <w:bottom w:val="single" w:color="1B2A6B" w:sz="8" w:space="4"/>
        </w:pBdr>
        <w:spacing w:after="80" w:before="80"/>
      </w:pP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000"/>
        <w:gridCol w:w="2126"/>
      </w:tblGrid>
      <w:tr>
        <w:tc>
          <w:tcPr>
            <w:tcW w:type="dxa" w:w="5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24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000"/>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c>
          <w:tcPr>
            <w:tcW w:type="dxa" w:w="2126"/>
            <w:tcBorders>
              <w:top w:val="single" w:color="1B2A6B" w:sz="1"/>
              <w:left w:val="single" w:color="1B2A6B" w:sz="1"/>
              <w:bottom w:val="single" w:color="1B2A6B" w:sz="1"/>
              <w:right w:val="single" w:color="1B2A6B" w:sz="1"/>
            </w:tcBorders>
            <w:shd w:fill="1B2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r>
      <w:tr>
        <w:tc>
          <w:tcPr>
            <w:tcW w:type="dxa" w:w="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1</w:t>
            </w:r>
          </w:p>
        </w:tc>
        <w:tc>
          <w:tcPr>
            <w:tcW w:type="dxa" w:w="24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Formalisation légale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Dépôt des statuts officiels dans les pays actifs</w:t>
            </w:r>
          </w:p>
        </w:tc>
        <w:tc>
          <w:tcPr>
            <w:tcW w:type="dxa" w:w="21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Fondatrice + Délégués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Nommer les Délégués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Confirmer les représentants au BF, CI et Niger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Fondatrice</w:t>
            </w:r>
          </w:p>
        </w:tc>
      </w:tr>
      <w:tr>
        <w:tc>
          <w:tcPr>
            <w:tcW w:type="dxa" w:w="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3</w:t>
            </w:r>
          </w:p>
        </w:tc>
        <w:tc>
          <w:tcPr>
            <w:tcW w:type="dxa" w:w="24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Lancer le recrutement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Ouvrir les candidatures bénévoles et formateurs</w:t>
            </w:r>
          </w:p>
        </w:tc>
        <w:tc>
          <w:tcPr>
            <w:tcW w:type="dxa" w:w="21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Bénévolat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Structurer la communication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Comptes officiels, charte graphique, kit influenceurs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Communication</w:t>
            </w:r>
          </w:p>
        </w:tc>
      </w:tr>
      <w:tr>
        <w:tc>
          <w:tcPr>
            <w:tcW w:type="dxa" w:w="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5</w:t>
            </w:r>
          </w:p>
        </w:tc>
        <w:tc>
          <w:tcPr>
            <w:tcW w:type="dxa" w:w="24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Activer partenariat Chine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Finaliser les modalités de livraison des matériels</w:t>
            </w:r>
          </w:p>
        </w:tc>
        <w:tc>
          <w:tcPr>
            <w:tcW w:type="dxa" w:w="21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Délégué BF + RS Don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1er événement de lancement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Événement de sensibilisation dans les 3 pays actifs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Événementiel</w:t>
            </w:r>
          </w:p>
        </w:tc>
      </w:tr>
      <w:tr>
        <w:tc>
          <w:tcPr>
            <w:tcW w:type="dxa" w:w="5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7</w:t>
            </w:r>
          </w:p>
        </w:tc>
        <w:tc>
          <w:tcPr>
            <w:tcW w:type="dxa" w:w="2400"/>
            <w:tcBorders>
              <w:top w:val="single" w:color="CCCCCC" w:sz="1"/>
              <w:left w:val="single" w:color="CCCCCC" w:sz="1"/>
              <w:bottom w:val="single" w:color="CCCCCC" w:sz="1"/>
              <w:right w:val="single" w:color="CCCCCC" w:sz="1"/>
            </w:tcBorders>
            <w:shd w:fill="D0D7F0" w:val="clear"/>
            <w:tcMar>
              <w:top w:type="dxa" w:w="80"/>
              <w:left w:type="dxa" w:w="140"/>
              <w:bottom w:type="dxa" w:w="80"/>
              <w:right w:type="dxa" w:w="140"/>
            </w:tcMar>
            <w:vAlign w:val="center"/>
          </w:tcPr>
          <w:p>
            <w:r>
              <w:rPr>
                <w:rFonts w:ascii="Arial" w:cs="Arial" w:eastAsia="Arial" w:hAnsi="Arial"/>
                <w:b/>
                <w:bCs/>
                <w:color w:val="1B2A6B"/>
                <w:sz w:val="20"/>
                <w:szCs w:val="20"/>
              </w:rPr>
              <w:t xml:space="preserve">Préparer l'extension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Identifier les futurs Délégués (Maroc, Canada, France...)</w:t>
            </w:r>
          </w:p>
        </w:tc>
        <w:tc>
          <w:tcPr>
            <w:tcW w:type="dxa" w:w="21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Comité Directeur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B2A6B"/>
                <w:sz w:val="20"/>
                <w:szCs w:val="20"/>
              </w:rPr>
              <w:t xml:space="preserve">Suivi financier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Ouvrir un compte association, créer le tableau de bord</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RS Finance</w:t>
            </w:r>
          </w:p>
        </w:tc>
      </w:tr>
    </w:tbl>
    <w:p>
      <w:pPr>
        <w:spacing w:after="0" w:before="0"/>
      </w:pPr>
      <w:r>
        <w:rPr>
          <w:sz w:val="48"/>
          <w:szCs w:val="48"/>
        </w:rPr>
        <w:t xml:space="preserve"/>
      </w:r>
    </w:p>
    <w:p>
      <w:pPr>
        <w:pBdr>
          <w:top w:val="single" w:color="2E9E6E" w:sz="8" w:space="6"/>
          <w:bottom w:val="single" w:color="2E9E6E" w:sz="8" w:space="6"/>
        </w:pBdr>
        <w:spacing w:after="160" w:before="160"/>
        <w:jc w:val="center"/>
      </w:pPr>
      <w:r>
        <w:rPr>
          <w:rFonts w:ascii="Arial" w:cs="Arial" w:eastAsia="Arial" w:hAnsi="Arial"/>
          <w:b/>
          <w:bCs/>
          <w:color w:val="1B2A6B"/>
          <w:sz w:val="28"/>
          <w:szCs w:val="28"/>
        </w:rPr>
        <w:t xml:space="preserve">Éduquer au Cœur — Ensemble, bâtissons un monde plus juste.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E6E" w:sz="4" w:space="4"/>
      </w:pBdr>
      <w:spacing w:after="0" w:before="80"/>
    </w:pPr>
    <w:r>
      <w:rPr>
        <w:rFonts w:ascii="Arial" w:cs="Arial" w:eastAsia="Arial" w:hAnsi="Arial"/>
        <w:color w:val="555555"/>
        <w:sz w:val="16"/>
        <w:szCs w:val="16"/>
      </w:rPr>
      <w:t xml:space="preserve">© Éduquer au Cœur — Confidentiel — Usage interne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6B" w:sz="6" w:space="4"/>
      </w:pBdr>
      <w:spacing w:after="80" w:before="0"/>
    </w:pPr>
    <w:r>
      <w:drawing>
        <wp:inline distT="0" distB="0" distL="0" distR="0">
          <wp:extent cx="381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04800"/>
                  </a:xfrm>
                  <a:prstGeom prst="rect">
                    <a:avLst/>
                  </a:prstGeom>
                </pic:spPr>
              </pic:pic>
            </a:graphicData>
          </a:graphic>
        </wp:inline>
      </w:drawing>
    </w:r>
    <w:r>
      <w:rPr>
        <w:rFonts w:ascii="Arial" w:cs="Arial" w:eastAsia="Arial" w:hAnsi="Arial"/>
        <w:b/>
        <w:bCs/>
        <w:color w:val="1B2A6B"/>
        <w:sz w:val="20"/>
        <w:szCs w:val="20"/>
      </w:rPr>
      <w:t xml:space="preserve">  ÉDUQUER AU CŒUR</w:t>
    </w:r>
    <w:r>
      <w:rPr>
        <w:rFonts w:ascii="Arial" w:cs="Arial" w:eastAsia="Arial" w:hAnsi="Arial"/>
        <w:color w:val="555555"/>
        <w:sz w:val="18"/>
        <w:szCs w:val="18"/>
      </w:rPr>
      <w:t xml:space="preserve">   |   Document Fondateur &amp; Organigramme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9E6E"/>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2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c1252912b31782194d65d6c388a61b2d7d821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c1252912b31782194d65d6c388a61b2d7d821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2026-06-16T10:16:40.379Z</dcterms:created>
  <dcterms:modified xsi:type="dcterms:W3CDTF">2026-06-16T10:16:40.391Z</dcterms:modified>
</cp:coreProperties>
</file>

<file path=docProps/custom.xml><?xml version="1.0" encoding="utf-8"?>
<Properties xmlns="http://schemas.openxmlformats.org/officeDocument/2006/custom-properties" xmlns:vt="http://schemas.openxmlformats.org/officeDocument/2006/docPropsVTypes"/>
</file>