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3EB4" w14:textId="3069321A" w:rsidR="00E95D5C" w:rsidRPr="00D65D2A" w:rsidRDefault="00D65D2A" w:rsidP="00D65D2A">
      <w:pPr>
        <w:jc w:val="center"/>
        <w:rPr>
          <w:b/>
          <w:bCs/>
          <w:lang w:val="en-US"/>
        </w:rPr>
      </w:pPr>
      <w:r w:rsidRPr="00D65D2A">
        <w:rPr>
          <w:b/>
          <w:bCs/>
          <w:lang w:val="en-US"/>
        </w:rPr>
        <w:t xml:space="preserve">Report on </w:t>
      </w:r>
      <w:proofErr w:type="spellStart"/>
      <w:r w:rsidRPr="00D65D2A">
        <w:rPr>
          <w:b/>
          <w:bCs/>
          <w:lang w:val="en-US"/>
        </w:rPr>
        <w:t>Tonix</w:t>
      </w:r>
      <w:proofErr w:type="spellEnd"/>
      <w:r w:rsidRPr="00D65D2A">
        <w:rPr>
          <w:b/>
          <w:bCs/>
          <w:lang w:val="en-US"/>
        </w:rPr>
        <w:t xml:space="preserve"> Pharmaceuticals</w:t>
      </w:r>
    </w:p>
    <w:p w14:paraId="635D717B" w14:textId="77777777" w:rsidR="00D65D2A" w:rsidRPr="00D65D2A" w:rsidRDefault="00D65D2A">
      <w:pPr>
        <w:rPr>
          <w:lang w:val="en-US"/>
        </w:rPr>
      </w:pPr>
    </w:p>
    <w:p w14:paraId="2417372A" w14:textId="2AEC1ACA" w:rsidR="007A4F78" w:rsidRPr="00D65D2A" w:rsidRDefault="007A4F78" w:rsidP="007A4F78">
      <w:pPr>
        <w:rPr>
          <w:lang w:val="en-US"/>
        </w:rPr>
      </w:pPr>
      <w:r w:rsidRPr="00D65D2A">
        <w:t>Based in Chatham, New Jersey, Tonix Pharmaceuticals is the result of several corporate transactions, specifically a reverse merger between Tamandare and Krele Pharmaceuticals in 2011, with Seth Lederman appointed as CEO</w:t>
      </w:r>
      <w:r w:rsidRPr="00D65D2A">
        <w:rPr>
          <w:lang w:val="en-US"/>
        </w:rPr>
        <w:t xml:space="preserve">, </w:t>
      </w:r>
      <w:r w:rsidRPr="00D65D2A">
        <w:t>a position he still holds today.</w:t>
      </w:r>
    </w:p>
    <w:p w14:paraId="19B8D460" w14:textId="163229E1" w:rsidR="007A4F78" w:rsidRPr="00D65D2A" w:rsidRDefault="007A4F78" w:rsidP="007A4F78">
      <w:pPr>
        <w:rPr>
          <w:lang w:val="en-US"/>
        </w:rPr>
      </w:pPr>
      <w:r w:rsidRPr="00D65D2A">
        <w:t>The company produces therapies for the central nervous system, immunology, and infectious diseases, with TNX-102 SL as its leading candidate, indicated for the management of fibromyalgia</w:t>
      </w:r>
      <w:r w:rsidRPr="00D65D2A">
        <w:rPr>
          <w:lang w:val="en-US"/>
        </w:rPr>
        <w:t xml:space="preserve"> which is </w:t>
      </w:r>
      <w:r w:rsidRPr="00D65D2A">
        <w:t xml:space="preserve"> a condition characterized by extreme pain, fatigue, and sleep deprivation.</w:t>
      </w:r>
    </w:p>
    <w:p w14:paraId="003D5AC7" w14:textId="1FC09E9E" w:rsidR="007A4F78" w:rsidRPr="00D65D2A" w:rsidRDefault="007A4F78" w:rsidP="007A4F78">
      <w:pPr>
        <w:rPr>
          <w:lang w:val="en-US"/>
        </w:rPr>
      </w:pPr>
      <w:r w:rsidRPr="00D65D2A">
        <w:t>Despite its noble cause, the company has faced several challenges in the past, with its stock price falling below $1 USD, resulting in regulatory issues, and only returning 2.35% year-to-date (YTD). Constant underperformance does not change the fact that Tonmya (TNX-102 SL) has the potential to be a $1 billion drug</w:t>
      </w:r>
      <w:r w:rsidRPr="00D65D2A">
        <w:rPr>
          <w:lang w:val="en-US"/>
        </w:rPr>
        <w:t>, if we’re being optimistic, or 500mln if we’re realistic</w:t>
      </w:r>
      <w:r w:rsidRPr="00D65D2A">
        <w:t xml:space="preserve">. </w:t>
      </w:r>
      <w:r w:rsidRPr="00D65D2A">
        <w:rPr>
          <w:lang w:val="en-US"/>
        </w:rPr>
        <w:t>Still, w</w:t>
      </w:r>
      <w:r w:rsidRPr="00D65D2A">
        <w:t>ith the company trading at a $170 million market cap, this presents an asymmetric opportunity.</w:t>
      </w:r>
    </w:p>
    <w:p w14:paraId="3AFFE4D8" w14:textId="2B79F1C8" w:rsidR="007A4F78" w:rsidRPr="00D65D2A" w:rsidRDefault="007A4F78" w:rsidP="007A4F78">
      <w:pPr>
        <w:rPr>
          <w:b/>
          <w:bCs/>
          <w:lang w:val="en-US"/>
        </w:rPr>
      </w:pPr>
      <w:r w:rsidRPr="00D65D2A">
        <w:rPr>
          <w:b/>
          <w:bCs/>
          <w:lang w:val="en-US"/>
        </w:rPr>
        <w:t>Financials</w:t>
      </w:r>
    </w:p>
    <w:p w14:paraId="3D29FA2F" w14:textId="77777777" w:rsidR="007A4F78" w:rsidRPr="007A4F78" w:rsidRDefault="007A4F78" w:rsidP="007A4F78">
      <w:r w:rsidRPr="007A4F78">
        <w:t>The financial position of the company is solid for its size. With two marketed drugs, it generates revenue — uncommon for small pharma companies in the early stages of drug development, particularly those with a market cap under $200 million. The company has no debt, and cash reserves are expected to last until Q2 2026 at the current burn rate.</w:t>
      </w:r>
    </w:p>
    <w:p w14:paraId="0E6FB964" w14:textId="77777777" w:rsidR="007A4F78" w:rsidRPr="007A4F78" w:rsidRDefault="007A4F78" w:rsidP="007A4F78">
      <w:r w:rsidRPr="007A4F78">
        <w:t>However, financial modeling often takes a back seat in pharmaceutical companies, where value is derived primarily from the pipeline. Instead, we focus on a sum-of-the-parts approach. The main point of this thesis is simple: how much is Tonmya going to sell?</w:t>
      </w:r>
    </w:p>
    <w:p w14:paraId="70D2B363" w14:textId="0919F131" w:rsidR="00A140C4" w:rsidRPr="00D65D2A" w:rsidRDefault="007A4F78" w:rsidP="00A140C4">
      <w:pPr>
        <w:tabs>
          <w:tab w:val="left" w:pos="1013"/>
        </w:tabs>
        <w:rPr>
          <w:lang w:val="en-US"/>
        </w:rPr>
      </w:pPr>
      <w:r w:rsidRPr="00D65D2A">
        <w:t xml:space="preserve">One thing that needs to be made clear is that TNXP’s management has repeatedly failed to deliver consistent positive performance. As stated in the introduction, performance has been poor at best. Hence my focus is on Tonmya alone. Relying on the rest of the pipeline carries too much risk given management’s track record. This also means that if the </w:t>
      </w:r>
      <w:r w:rsidRPr="00D65D2A">
        <w:rPr>
          <w:b/>
          <w:bCs/>
        </w:rPr>
        <w:t>PDUFA</w:t>
      </w:r>
      <w:r w:rsidRPr="00D65D2A">
        <w:t xml:space="preserve"> date is not successful, this thesis will be invalidated until we can better understand when Tonmya might hit the market. Nevertheless, I am confident that the odds favor TNXP in the coming catalyst date, for reasons I will outline below</w:t>
      </w:r>
      <w:r w:rsidRPr="00D65D2A">
        <w:rPr>
          <w:lang w:val="en-US"/>
        </w:rPr>
        <w:t>,</w:t>
      </w:r>
      <w:r w:rsidRPr="00D65D2A">
        <w:t xml:space="preserve"> one of which is the condition Tonmya aims to treat.</w:t>
      </w:r>
      <w:r w:rsidR="00A140C4" w:rsidRPr="00D65D2A">
        <w:rPr>
          <w:lang w:val="en-US"/>
        </w:rPr>
        <w:tab/>
      </w:r>
    </w:p>
    <w:p w14:paraId="0B2A5545" w14:textId="43469308" w:rsidR="00A140C4" w:rsidRPr="00D65D2A" w:rsidRDefault="00A140C4" w:rsidP="007A4F78">
      <w:pPr>
        <w:rPr>
          <w:b/>
          <w:bCs/>
          <w:lang w:val="en-US"/>
        </w:rPr>
      </w:pPr>
      <w:r w:rsidRPr="00D65D2A">
        <w:rPr>
          <w:b/>
          <w:bCs/>
          <w:lang w:val="en-US"/>
        </w:rPr>
        <w:t>What is FM</w:t>
      </w:r>
      <w:r w:rsidR="007A4F78" w:rsidRPr="00D65D2A">
        <w:rPr>
          <w:b/>
          <w:bCs/>
          <w:lang w:val="en-US"/>
        </w:rPr>
        <w:t>?</w:t>
      </w:r>
      <w:r w:rsidRPr="00D65D2A">
        <w:rPr>
          <w:b/>
          <w:bCs/>
          <w:lang w:val="en-US"/>
        </w:rPr>
        <w:t xml:space="preserve"> </w:t>
      </w:r>
    </w:p>
    <w:p w14:paraId="5D1AC1B2" w14:textId="5A723A6B" w:rsidR="00E64AAC" w:rsidRPr="00D65D2A" w:rsidRDefault="007A4F78" w:rsidP="007A4F78">
      <w:pPr>
        <w:rPr>
          <w:b/>
          <w:bCs/>
          <w:lang w:val="en-US"/>
        </w:rPr>
      </w:pPr>
      <w:r w:rsidRPr="00D65D2A">
        <w:lastRenderedPageBreak/>
        <w:t>Fibromyalgia (FM), a prototypic nociplastic syndrome, is caused by amplified sensory and pain signaling in the central nervous system (CNS). It is often associated with other pain states such as recovery from infectious diseases, cancer treatment, or endocrine stress, but it can also appear without any prior cause. The disease is characterized by chronic pain, non-restorative sleep, fatigue, and even brain fog. There is no known cure, and current treatments only manage symptoms. FM is said to affect around 10 million Americans, with the number likely higher given that 40% of long COVID patients have overlapping symptoms.</w:t>
      </w:r>
    </w:p>
    <w:p w14:paraId="300B1619" w14:textId="58B12986" w:rsidR="007A4F78" w:rsidRPr="00D65D2A" w:rsidRDefault="007A4F78" w:rsidP="00E64AAC">
      <w:pPr>
        <w:rPr>
          <w:lang w:val="en-US"/>
        </w:rPr>
      </w:pPr>
      <w:r w:rsidRPr="00D65D2A">
        <w:t>No new drugs have been developed for this condition in over a decade, posing an opportunity for approval even if the treatment is not novel or game-changing. Moreover, around 50% of patients are prescribed opioids within 18 months of diagnosis. Tonmya and other candidates would provide a safer alternative for a debilitating condition that affects a significant number of people and for which current market offerings are inadequate.</w:t>
      </w:r>
    </w:p>
    <w:p w14:paraId="5DE37155" w14:textId="77777777" w:rsidR="007A4F78" w:rsidRPr="00D65D2A" w:rsidRDefault="007A4F78" w:rsidP="00E64AAC">
      <w:pPr>
        <w:rPr>
          <w:lang w:val="en-US"/>
        </w:rPr>
      </w:pPr>
    </w:p>
    <w:p w14:paraId="2E90100F" w14:textId="4A440F48" w:rsidR="008026C8" w:rsidRPr="00D65D2A" w:rsidRDefault="008026C8" w:rsidP="00E64AAC">
      <w:pPr>
        <w:rPr>
          <w:b/>
          <w:bCs/>
          <w:lang w:val="en-US"/>
        </w:rPr>
      </w:pPr>
      <w:r w:rsidRPr="00D65D2A">
        <w:rPr>
          <w:b/>
          <w:bCs/>
          <w:lang w:val="en-US"/>
        </w:rPr>
        <w:t>Competition</w:t>
      </w:r>
      <w:r w:rsidR="00877C23" w:rsidRPr="00D65D2A">
        <w:rPr>
          <w:b/>
          <w:bCs/>
          <w:lang w:val="en-US"/>
        </w:rPr>
        <w:t>/Treatment landscape</w:t>
      </w:r>
    </w:p>
    <w:p w14:paraId="75039EE6" w14:textId="36A967DC" w:rsidR="00877C23" w:rsidRPr="00D65D2A" w:rsidRDefault="00877C23" w:rsidP="00E64AAC">
      <w:pPr>
        <w:rPr>
          <w:lang w:val="en-US"/>
        </w:rPr>
      </w:pPr>
      <w:r w:rsidRPr="00D65D2A">
        <w:rPr>
          <w:lang w:val="en-US"/>
        </w:rPr>
        <w:tab/>
      </w:r>
      <w:r w:rsidR="007A4F78" w:rsidRPr="00D65D2A">
        <w:t>FM has been difficult to treat, with only three drugs ever approved specifically for FM:</w:t>
      </w:r>
    </w:p>
    <w:p w14:paraId="12F074DD" w14:textId="77777777" w:rsidR="00877C23" w:rsidRPr="00D65D2A" w:rsidRDefault="00877C23" w:rsidP="00E64AAC">
      <w:pPr>
        <w:rPr>
          <w:lang w:val="en-US"/>
        </w:rPr>
      </w:pPr>
    </w:p>
    <w:p w14:paraId="6F38F066" w14:textId="77777777" w:rsidR="00877C23" w:rsidRPr="00D65D2A" w:rsidRDefault="00877C23" w:rsidP="00E64AAC">
      <w:pPr>
        <w:rPr>
          <w:lang w:val="en-US"/>
        </w:rPr>
      </w:pPr>
      <w:r w:rsidRPr="00D65D2A">
        <w:rPr>
          <w:lang w:val="en-US"/>
        </w:rPr>
        <w:tab/>
      </w:r>
    </w:p>
    <w:tbl>
      <w:tblPr>
        <w:tblW w:w="6474" w:type="dxa"/>
        <w:jc w:val="center"/>
        <w:tblLook w:val="04A0" w:firstRow="1" w:lastRow="0" w:firstColumn="1" w:lastColumn="0" w:noHBand="0" w:noVBand="1"/>
      </w:tblPr>
      <w:tblGrid>
        <w:gridCol w:w="1800"/>
        <w:gridCol w:w="1660"/>
        <w:gridCol w:w="2160"/>
        <w:gridCol w:w="854"/>
      </w:tblGrid>
      <w:tr w:rsidR="00877C23" w:rsidRPr="00D65D2A" w14:paraId="6D8CEEE9" w14:textId="77777777" w:rsidTr="00877C23">
        <w:trPr>
          <w:trHeight w:val="290"/>
          <w:jc w:val="center"/>
        </w:trPr>
        <w:tc>
          <w:tcPr>
            <w:tcW w:w="1800" w:type="dxa"/>
            <w:tcBorders>
              <w:top w:val="single" w:sz="4" w:space="0" w:color="auto"/>
              <w:left w:val="nil"/>
              <w:bottom w:val="single" w:sz="4" w:space="0" w:color="auto"/>
              <w:right w:val="nil"/>
            </w:tcBorders>
            <w:shd w:val="clear" w:color="auto" w:fill="auto"/>
            <w:noWrap/>
            <w:vAlign w:val="bottom"/>
            <w:hideMark/>
          </w:tcPr>
          <w:p w14:paraId="766B7642"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Company</w:t>
            </w:r>
          </w:p>
        </w:tc>
        <w:tc>
          <w:tcPr>
            <w:tcW w:w="1660" w:type="dxa"/>
            <w:tcBorders>
              <w:top w:val="single" w:sz="4" w:space="0" w:color="auto"/>
              <w:left w:val="nil"/>
              <w:bottom w:val="single" w:sz="4" w:space="0" w:color="auto"/>
              <w:right w:val="nil"/>
            </w:tcBorders>
            <w:shd w:val="clear" w:color="auto" w:fill="auto"/>
            <w:noWrap/>
            <w:vAlign w:val="bottom"/>
            <w:hideMark/>
          </w:tcPr>
          <w:p w14:paraId="13A4AFE6"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Name</w:t>
            </w:r>
          </w:p>
        </w:tc>
        <w:tc>
          <w:tcPr>
            <w:tcW w:w="2160" w:type="dxa"/>
            <w:tcBorders>
              <w:top w:val="single" w:sz="4" w:space="0" w:color="auto"/>
              <w:left w:val="nil"/>
              <w:bottom w:val="single" w:sz="4" w:space="0" w:color="auto"/>
              <w:right w:val="nil"/>
            </w:tcBorders>
            <w:shd w:val="clear" w:color="auto" w:fill="auto"/>
            <w:noWrap/>
            <w:vAlign w:val="bottom"/>
            <w:hideMark/>
          </w:tcPr>
          <w:p w14:paraId="2FFCD004"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Generic</w:t>
            </w:r>
          </w:p>
        </w:tc>
        <w:tc>
          <w:tcPr>
            <w:tcW w:w="854" w:type="dxa"/>
            <w:tcBorders>
              <w:top w:val="single" w:sz="4" w:space="0" w:color="auto"/>
              <w:left w:val="nil"/>
              <w:bottom w:val="single" w:sz="4" w:space="0" w:color="auto"/>
              <w:right w:val="nil"/>
            </w:tcBorders>
            <w:shd w:val="clear" w:color="auto" w:fill="auto"/>
            <w:noWrap/>
            <w:vAlign w:val="bottom"/>
            <w:hideMark/>
          </w:tcPr>
          <w:p w14:paraId="10C4EB8B"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Launch</w:t>
            </w:r>
          </w:p>
        </w:tc>
      </w:tr>
      <w:tr w:rsidR="00877C23" w:rsidRPr="00D65D2A" w14:paraId="730259AE" w14:textId="77777777" w:rsidTr="00877C23">
        <w:trPr>
          <w:trHeight w:val="290"/>
          <w:jc w:val="center"/>
        </w:trPr>
        <w:tc>
          <w:tcPr>
            <w:tcW w:w="1800" w:type="dxa"/>
            <w:tcBorders>
              <w:top w:val="nil"/>
              <w:left w:val="nil"/>
              <w:bottom w:val="nil"/>
              <w:right w:val="nil"/>
            </w:tcBorders>
            <w:shd w:val="clear" w:color="auto" w:fill="auto"/>
            <w:noWrap/>
            <w:vAlign w:val="bottom"/>
            <w:hideMark/>
          </w:tcPr>
          <w:p w14:paraId="52B6626B"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PFE</w:t>
            </w:r>
          </w:p>
        </w:tc>
        <w:tc>
          <w:tcPr>
            <w:tcW w:w="1660" w:type="dxa"/>
            <w:tcBorders>
              <w:top w:val="nil"/>
              <w:left w:val="nil"/>
              <w:bottom w:val="nil"/>
              <w:right w:val="nil"/>
            </w:tcBorders>
            <w:shd w:val="clear" w:color="auto" w:fill="auto"/>
            <w:noWrap/>
            <w:vAlign w:val="bottom"/>
            <w:hideMark/>
          </w:tcPr>
          <w:p w14:paraId="39EA93CA"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Lyrica</w:t>
            </w:r>
          </w:p>
        </w:tc>
        <w:tc>
          <w:tcPr>
            <w:tcW w:w="2160" w:type="dxa"/>
            <w:tcBorders>
              <w:top w:val="nil"/>
              <w:left w:val="nil"/>
              <w:bottom w:val="nil"/>
              <w:right w:val="nil"/>
            </w:tcBorders>
            <w:shd w:val="clear" w:color="auto" w:fill="auto"/>
            <w:noWrap/>
            <w:vAlign w:val="bottom"/>
            <w:hideMark/>
          </w:tcPr>
          <w:p w14:paraId="77347BF4"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Duloxetine</w:t>
            </w:r>
          </w:p>
        </w:tc>
        <w:tc>
          <w:tcPr>
            <w:tcW w:w="854" w:type="dxa"/>
            <w:tcBorders>
              <w:top w:val="nil"/>
              <w:left w:val="nil"/>
              <w:bottom w:val="nil"/>
              <w:right w:val="nil"/>
            </w:tcBorders>
            <w:shd w:val="clear" w:color="auto" w:fill="auto"/>
            <w:noWrap/>
            <w:vAlign w:val="bottom"/>
            <w:hideMark/>
          </w:tcPr>
          <w:p w14:paraId="33843C19" w14:textId="77777777" w:rsidR="00877C23" w:rsidRPr="00D65D2A" w:rsidRDefault="00877C23" w:rsidP="00877C23">
            <w:pPr>
              <w:spacing w:after="0" w:line="240" w:lineRule="auto"/>
              <w:jc w:val="right"/>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2004</w:t>
            </w:r>
          </w:p>
        </w:tc>
      </w:tr>
      <w:tr w:rsidR="00877C23" w:rsidRPr="00D65D2A" w14:paraId="312D7F86" w14:textId="77777777" w:rsidTr="00877C23">
        <w:trPr>
          <w:trHeight w:val="290"/>
          <w:jc w:val="center"/>
        </w:trPr>
        <w:tc>
          <w:tcPr>
            <w:tcW w:w="1800" w:type="dxa"/>
            <w:tcBorders>
              <w:top w:val="nil"/>
              <w:left w:val="nil"/>
              <w:right w:val="nil"/>
            </w:tcBorders>
            <w:shd w:val="clear" w:color="auto" w:fill="auto"/>
            <w:noWrap/>
            <w:vAlign w:val="bottom"/>
            <w:hideMark/>
          </w:tcPr>
          <w:p w14:paraId="3C3756CE"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LLY</w:t>
            </w:r>
          </w:p>
        </w:tc>
        <w:tc>
          <w:tcPr>
            <w:tcW w:w="1660" w:type="dxa"/>
            <w:tcBorders>
              <w:top w:val="nil"/>
              <w:left w:val="nil"/>
              <w:right w:val="nil"/>
            </w:tcBorders>
            <w:shd w:val="clear" w:color="auto" w:fill="auto"/>
            <w:noWrap/>
            <w:vAlign w:val="bottom"/>
            <w:hideMark/>
          </w:tcPr>
          <w:p w14:paraId="3209FA93"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Cymbalta</w:t>
            </w:r>
          </w:p>
        </w:tc>
        <w:tc>
          <w:tcPr>
            <w:tcW w:w="2160" w:type="dxa"/>
            <w:tcBorders>
              <w:top w:val="nil"/>
              <w:left w:val="nil"/>
              <w:right w:val="nil"/>
            </w:tcBorders>
            <w:shd w:val="clear" w:color="auto" w:fill="auto"/>
            <w:noWrap/>
            <w:vAlign w:val="bottom"/>
            <w:hideMark/>
          </w:tcPr>
          <w:p w14:paraId="43DE95CB"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 xml:space="preserve">Pregabalin </w:t>
            </w:r>
          </w:p>
        </w:tc>
        <w:tc>
          <w:tcPr>
            <w:tcW w:w="854" w:type="dxa"/>
            <w:tcBorders>
              <w:top w:val="nil"/>
              <w:left w:val="nil"/>
              <w:right w:val="nil"/>
            </w:tcBorders>
            <w:shd w:val="clear" w:color="auto" w:fill="auto"/>
            <w:noWrap/>
            <w:vAlign w:val="bottom"/>
            <w:hideMark/>
          </w:tcPr>
          <w:p w14:paraId="4D257605" w14:textId="77777777" w:rsidR="00877C23" w:rsidRPr="00D65D2A" w:rsidRDefault="00877C23" w:rsidP="00877C23">
            <w:pPr>
              <w:spacing w:after="0" w:line="240" w:lineRule="auto"/>
              <w:jc w:val="right"/>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2005</w:t>
            </w:r>
          </w:p>
        </w:tc>
      </w:tr>
      <w:tr w:rsidR="00877C23" w:rsidRPr="00D65D2A" w14:paraId="76748CB6" w14:textId="77777777" w:rsidTr="00877C23">
        <w:trPr>
          <w:trHeight w:val="290"/>
          <w:jc w:val="center"/>
        </w:trPr>
        <w:tc>
          <w:tcPr>
            <w:tcW w:w="1800" w:type="dxa"/>
            <w:tcBorders>
              <w:top w:val="nil"/>
              <w:left w:val="nil"/>
              <w:bottom w:val="single" w:sz="4" w:space="0" w:color="auto"/>
              <w:right w:val="nil"/>
            </w:tcBorders>
            <w:shd w:val="clear" w:color="auto" w:fill="auto"/>
            <w:noWrap/>
            <w:vAlign w:val="bottom"/>
            <w:hideMark/>
          </w:tcPr>
          <w:p w14:paraId="39820C20"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ABBV</w:t>
            </w:r>
          </w:p>
        </w:tc>
        <w:tc>
          <w:tcPr>
            <w:tcW w:w="1660" w:type="dxa"/>
            <w:tcBorders>
              <w:top w:val="nil"/>
              <w:left w:val="nil"/>
              <w:bottom w:val="single" w:sz="4" w:space="0" w:color="auto"/>
              <w:right w:val="nil"/>
            </w:tcBorders>
            <w:shd w:val="clear" w:color="auto" w:fill="auto"/>
            <w:noWrap/>
            <w:vAlign w:val="bottom"/>
            <w:hideMark/>
          </w:tcPr>
          <w:p w14:paraId="4D17F64D"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Savella</w:t>
            </w:r>
          </w:p>
        </w:tc>
        <w:tc>
          <w:tcPr>
            <w:tcW w:w="2160" w:type="dxa"/>
            <w:tcBorders>
              <w:top w:val="nil"/>
              <w:left w:val="nil"/>
              <w:bottom w:val="single" w:sz="4" w:space="0" w:color="auto"/>
              <w:right w:val="nil"/>
            </w:tcBorders>
            <w:shd w:val="clear" w:color="auto" w:fill="auto"/>
            <w:noWrap/>
            <w:vAlign w:val="bottom"/>
            <w:hideMark/>
          </w:tcPr>
          <w:p w14:paraId="2B50B72C" w14:textId="77777777" w:rsidR="00877C23" w:rsidRPr="00D65D2A" w:rsidRDefault="00877C23" w:rsidP="00877C23">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Milnacipran</w:t>
            </w:r>
          </w:p>
        </w:tc>
        <w:tc>
          <w:tcPr>
            <w:tcW w:w="854" w:type="dxa"/>
            <w:tcBorders>
              <w:top w:val="nil"/>
              <w:left w:val="nil"/>
              <w:bottom w:val="single" w:sz="4" w:space="0" w:color="auto"/>
              <w:right w:val="nil"/>
            </w:tcBorders>
            <w:shd w:val="clear" w:color="auto" w:fill="auto"/>
            <w:noWrap/>
            <w:vAlign w:val="bottom"/>
            <w:hideMark/>
          </w:tcPr>
          <w:p w14:paraId="528FEC99" w14:textId="77777777" w:rsidR="00877C23" w:rsidRPr="00D65D2A" w:rsidRDefault="00877C23" w:rsidP="00877C23">
            <w:pPr>
              <w:spacing w:after="0" w:line="240" w:lineRule="auto"/>
              <w:jc w:val="right"/>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2009</w:t>
            </w:r>
          </w:p>
        </w:tc>
      </w:tr>
    </w:tbl>
    <w:p w14:paraId="286A1EDD" w14:textId="795FE74A" w:rsidR="00877C23" w:rsidRPr="00D65D2A" w:rsidRDefault="00877C23" w:rsidP="00E64AAC">
      <w:pPr>
        <w:rPr>
          <w:lang w:val="en-US"/>
        </w:rPr>
      </w:pPr>
    </w:p>
    <w:p w14:paraId="2E691A13" w14:textId="24DDAA88" w:rsidR="00877C23" w:rsidRPr="00D65D2A" w:rsidRDefault="007A4F78" w:rsidP="00E64AAC">
      <w:pPr>
        <w:rPr>
          <w:lang w:val="en-US"/>
        </w:rPr>
      </w:pPr>
      <w:r w:rsidRPr="00D65D2A">
        <w:t>Since then, no new treatment has been approved. Patents for Lyrica and Cymbalta expired in 2014 and 2019, respectively. With patients reporting reduced efficacy from generics, there is a clear need for new treatments.</w:t>
      </w:r>
    </w:p>
    <w:p w14:paraId="35BC3572" w14:textId="5B51E790" w:rsidR="008026C8" w:rsidRPr="00D65D2A" w:rsidRDefault="008026C8" w:rsidP="00E64AAC">
      <w:pPr>
        <w:rPr>
          <w:b/>
          <w:bCs/>
          <w:lang w:val="en-US"/>
        </w:rPr>
      </w:pPr>
      <w:r w:rsidRPr="00D65D2A">
        <w:rPr>
          <w:b/>
          <w:bCs/>
          <w:lang w:val="en-US"/>
        </w:rPr>
        <w:t>Other clinical stage competitors</w:t>
      </w:r>
      <w:r w:rsidR="007A4F78" w:rsidRPr="00D65D2A">
        <w:rPr>
          <w:b/>
          <w:bCs/>
          <w:lang w:val="en-US"/>
        </w:rPr>
        <w:t>:</w:t>
      </w:r>
    </w:p>
    <w:p w14:paraId="1FE137E0" w14:textId="012BFE6F" w:rsidR="007A4F78" w:rsidRPr="00D65D2A" w:rsidRDefault="007A4F78" w:rsidP="007A4F78">
      <w:pPr>
        <w:pStyle w:val="ListParagraph"/>
        <w:numPr>
          <w:ilvl w:val="0"/>
          <w:numId w:val="3"/>
        </w:numPr>
      </w:pPr>
      <w:r w:rsidRPr="00D65D2A">
        <w:rPr>
          <w:b/>
          <w:bCs/>
        </w:rPr>
        <w:t>IMC-1</w:t>
      </w:r>
      <w:r w:rsidRPr="00D65D2A">
        <w:t xml:space="preserve"> (Dogwood Therapeutics, DWTX)</w:t>
      </w:r>
      <w:r w:rsidRPr="00D65D2A">
        <w:rPr>
          <w:lang w:val="en-US"/>
        </w:rPr>
        <w:t>:</w:t>
      </w:r>
      <w:r w:rsidRPr="00D65D2A">
        <w:t xml:space="preserve"> an antiviral combination of famciclovir and celecoxib, currently in late-phase II trials.</w:t>
      </w:r>
    </w:p>
    <w:p w14:paraId="1E2958A8" w14:textId="512171FF" w:rsidR="007A4F78" w:rsidRPr="00D65D2A" w:rsidRDefault="007A4F78" w:rsidP="007A4F78">
      <w:pPr>
        <w:pStyle w:val="ListParagraph"/>
        <w:numPr>
          <w:ilvl w:val="0"/>
          <w:numId w:val="3"/>
        </w:numPr>
      </w:pPr>
      <w:r w:rsidRPr="00D65D2A">
        <w:rPr>
          <w:b/>
          <w:bCs/>
        </w:rPr>
        <w:t>TRP-8802</w:t>
      </w:r>
      <w:r w:rsidRPr="00D65D2A">
        <w:t xml:space="preserve"> (Tryptamine Therapeutics, TYP AU)</w:t>
      </w:r>
      <w:r w:rsidRPr="00D65D2A">
        <w:rPr>
          <w:lang w:val="en-US"/>
        </w:rPr>
        <w:t>:</w:t>
      </w:r>
      <w:r w:rsidRPr="00D65D2A">
        <w:t xml:space="preserve"> a psilocybin-based serotonergic agonist in phase II trials.</w:t>
      </w:r>
      <w:r w:rsidRPr="00D65D2A">
        <w:br/>
        <w:t>While these are novel approaches, studies to date have been small-scale, and such unconventional mechanisms may face additional regulatory hurdles.</w:t>
      </w:r>
    </w:p>
    <w:p w14:paraId="1DAE7207" w14:textId="562DA153" w:rsidR="00F71D1A" w:rsidRPr="00D65D2A" w:rsidRDefault="00F71D1A" w:rsidP="00F71D1A">
      <w:r w:rsidRPr="00D65D2A">
        <w:lastRenderedPageBreak/>
        <w:t>AXS-14 (Axsome Therapeutics, AXSM)</w:t>
      </w:r>
      <w:r w:rsidRPr="00D65D2A">
        <w:rPr>
          <w:lang w:val="en-US"/>
        </w:rPr>
        <w:t>:</w:t>
      </w:r>
      <w:r w:rsidRPr="00D65D2A">
        <w:t xml:space="preserve"> </w:t>
      </w:r>
      <w:r w:rsidRPr="00D65D2A">
        <w:rPr>
          <w:lang w:val="en-US"/>
        </w:rPr>
        <w:t>E</w:t>
      </w:r>
      <w:r w:rsidRPr="00D65D2A">
        <w:t>sreboxetine</w:t>
      </w:r>
      <w:r w:rsidRPr="00D65D2A">
        <w:rPr>
          <w:lang w:val="en-US"/>
        </w:rPr>
        <w:t xml:space="preserve"> is</w:t>
      </w:r>
      <w:r w:rsidRPr="00D65D2A">
        <w:t xml:space="preserve"> a highly selective norepinephrine reuptake inhibitor (NRI). Pfizer previously discontinued development, but Axsome licensed it in 2020 along with phase II/III data. While the trials met primary endpoints, the FDA rejected the NDA due to trial design concerns, requesting longer observation periods and fixed dosage regimens.</w:t>
      </w:r>
    </w:p>
    <w:p w14:paraId="485941C5" w14:textId="77777777" w:rsidR="00F71D1A" w:rsidRPr="00F71D1A" w:rsidRDefault="00F71D1A" w:rsidP="00F71D1A">
      <w:r w:rsidRPr="00F71D1A">
        <w:t>This is not to say TNX-102 SL is a groundbreaking compound. Cyclobenzaprine was FDA-approved in the 1970s as a muscle relaxant. Tonmya simply changes the timing (administered at night) and route (sublingual) to target non-restorative sleep, strongly correlated with pain in FM. Nevertheless, cyclobenzaprine HCI sublingual has met its primary endpoint in two out of three phase III trials conducted by Tonix</w:t>
      </w:r>
    </w:p>
    <w:p w14:paraId="37E47A86" w14:textId="4D3B9768" w:rsidR="00133F6F" w:rsidRPr="00D65D2A" w:rsidRDefault="00F71D1A" w:rsidP="007A4F78">
      <w:pPr>
        <w:rPr>
          <w:b/>
          <w:bCs/>
          <w:lang w:val="en-US"/>
        </w:rPr>
      </w:pPr>
      <w:r w:rsidRPr="00D65D2A">
        <w:rPr>
          <w:b/>
          <w:bCs/>
          <w:lang w:val="en-US"/>
        </w:rPr>
        <w:t>RALLY’s Failure</w:t>
      </w:r>
    </w:p>
    <w:p w14:paraId="7FD4A9A9" w14:textId="745DE7EE" w:rsidR="00F71D1A" w:rsidRPr="00F71D1A" w:rsidRDefault="00F71D1A" w:rsidP="00F71D1A">
      <w:r w:rsidRPr="00F71D1A">
        <w:t>When assessing the likelihood of TNX-102 SL’s approval, one must address its failed phase III trial, RALLY. Enrollment occurred from September 2020 to March 2021</w:t>
      </w:r>
      <w:r w:rsidRPr="00D65D2A">
        <w:rPr>
          <w:lang w:val="en-US"/>
        </w:rPr>
        <w:t xml:space="preserve">, </w:t>
      </w:r>
      <w:r w:rsidRPr="00F71D1A">
        <w:t>during major COVID-19 waves. The protocol allowed telephone visits and other pandemic accommodations, and Tonix later reported unusually high AE-related discontinuations. Out of 514 enrolled subjects, 115 (24%) failed to complete the trial. These pandemic-related disruptions likely increased missing data and variability, erasing modest drug/placebo differences.</w:t>
      </w:r>
    </w:p>
    <w:p w14:paraId="1C7DC4F6" w14:textId="77777777" w:rsidR="00F71D1A" w:rsidRPr="00F71D1A" w:rsidRDefault="00F71D1A" w:rsidP="00F71D1A">
      <w:r w:rsidRPr="00F71D1A">
        <w:t>Importantly, RELIEF (completed mid-2020) and RESILIENT (enrolled April 2022–August 2023) both met their primary endpoints. The NDA therefore relies on two positive phase III results, while RALLY appears to be a trial-specific failure caused by pandemic-related noise rather than a consistent lack of efficacy.</w:t>
      </w:r>
    </w:p>
    <w:p w14:paraId="5322E51B" w14:textId="7F554D74" w:rsidR="00133F6F" w:rsidRPr="00D65D2A" w:rsidRDefault="00040A12" w:rsidP="007A4F78">
      <w:pPr>
        <w:rPr>
          <w:b/>
          <w:bCs/>
          <w:lang w:val="en-US"/>
        </w:rPr>
      </w:pPr>
      <w:r w:rsidRPr="00D65D2A">
        <w:rPr>
          <w:b/>
          <w:bCs/>
          <w:lang w:val="en-US"/>
        </w:rPr>
        <w:t>Efficacy</w:t>
      </w:r>
      <w:r w:rsidR="00133F6F" w:rsidRPr="00D65D2A">
        <w:rPr>
          <w:b/>
          <w:bCs/>
          <w:lang w:val="en-US"/>
        </w:rPr>
        <w:t xml:space="preserve"> comparison</w:t>
      </w:r>
    </w:p>
    <w:p w14:paraId="38FB7DDA" w14:textId="105FF6F5" w:rsidR="00133F6F" w:rsidRPr="00D65D2A" w:rsidRDefault="00133F6F" w:rsidP="00F71D1A">
      <w:pPr>
        <w:rPr>
          <w:lang w:val="en-US"/>
        </w:rPr>
      </w:pPr>
      <w:r w:rsidRPr="00D65D2A">
        <w:rPr>
          <w:lang w:val="en-US"/>
        </w:rPr>
        <w:t>AXS-14 and TNX-102 SL, despite tackling FM differently, have</w:t>
      </w:r>
      <w:r w:rsidR="00F71D1A" w:rsidRPr="00D65D2A">
        <w:rPr>
          <w:lang w:val="en-US"/>
        </w:rPr>
        <w:t xml:space="preserve"> shown</w:t>
      </w:r>
      <w:r w:rsidRPr="00D65D2A">
        <w:rPr>
          <w:lang w:val="en-US"/>
        </w:rPr>
        <w:t xml:space="preserve"> comparable efficacy</w:t>
      </w:r>
      <w:r w:rsidR="00F71D1A" w:rsidRPr="00D65D2A">
        <w:rPr>
          <w:lang w:val="en-US"/>
        </w:rPr>
        <w:t>.</w:t>
      </w:r>
      <w:r w:rsidR="00F4152A" w:rsidRPr="00D65D2A">
        <w:rPr>
          <w:lang w:val="en-US"/>
        </w:rPr>
        <w:t xml:space="preserve"> </w:t>
      </w:r>
      <w:r w:rsidR="00F71D1A" w:rsidRPr="00D65D2A">
        <w:rPr>
          <w:lang w:val="en-US"/>
        </w:rPr>
        <w:t>T</w:t>
      </w:r>
      <w:r w:rsidR="00F4152A" w:rsidRPr="00D65D2A">
        <w:rPr>
          <w:lang w:val="en-US"/>
        </w:rPr>
        <w:t xml:space="preserve">he table below summarizes the findings from </w:t>
      </w:r>
      <w:proofErr w:type="spellStart"/>
      <w:r w:rsidR="00F4152A" w:rsidRPr="00D65D2A">
        <w:rPr>
          <w:lang w:val="en-US"/>
        </w:rPr>
        <w:t>T</w:t>
      </w:r>
      <w:r w:rsidR="00F71D1A" w:rsidRPr="00D65D2A">
        <w:rPr>
          <w:lang w:val="en-US"/>
        </w:rPr>
        <w:t>onix</w:t>
      </w:r>
      <w:r w:rsidR="00F4152A" w:rsidRPr="00D65D2A">
        <w:rPr>
          <w:lang w:val="en-US"/>
        </w:rPr>
        <w:t>’s</w:t>
      </w:r>
      <w:proofErr w:type="spellEnd"/>
      <w:r w:rsidR="00F4152A" w:rsidRPr="00D65D2A">
        <w:rPr>
          <w:lang w:val="en-US"/>
        </w:rPr>
        <w:t xml:space="preserve"> RESILIENT and </w:t>
      </w:r>
      <w:r w:rsidR="00F71D1A" w:rsidRPr="00D65D2A">
        <w:t>Pfizer’s phase III trial for AXS-14</w:t>
      </w:r>
      <w:r w:rsidR="00F71D1A" w:rsidRPr="00D65D2A">
        <w:rPr>
          <w:lang w:val="en-US"/>
        </w:rPr>
        <w:t>:</w:t>
      </w:r>
    </w:p>
    <w:tbl>
      <w:tblPr>
        <w:tblW w:w="8060" w:type="dxa"/>
        <w:jc w:val="center"/>
        <w:tblLook w:val="04A0" w:firstRow="1" w:lastRow="0" w:firstColumn="1" w:lastColumn="0" w:noHBand="0" w:noVBand="1"/>
      </w:tblPr>
      <w:tblGrid>
        <w:gridCol w:w="3640"/>
        <w:gridCol w:w="2210"/>
        <w:gridCol w:w="2210"/>
      </w:tblGrid>
      <w:tr w:rsidR="00F4152A" w:rsidRPr="00D65D2A" w14:paraId="1921D38F" w14:textId="77777777" w:rsidTr="00F4152A">
        <w:trPr>
          <w:trHeight w:val="290"/>
          <w:jc w:val="center"/>
        </w:trPr>
        <w:tc>
          <w:tcPr>
            <w:tcW w:w="3640" w:type="dxa"/>
            <w:tcBorders>
              <w:top w:val="single" w:sz="4" w:space="0" w:color="auto"/>
              <w:left w:val="nil"/>
              <w:bottom w:val="single" w:sz="4" w:space="0" w:color="auto"/>
              <w:right w:val="nil"/>
            </w:tcBorders>
            <w:shd w:val="clear" w:color="auto" w:fill="auto"/>
            <w:noWrap/>
            <w:vAlign w:val="bottom"/>
            <w:hideMark/>
          </w:tcPr>
          <w:p w14:paraId="222FACAE" w14:textId="77777777" w:rsidR="00F4152A" w:rsidRPr="00D65D2A" w:rsidRDefault="00F4152A" w:rsidP="00F4152A">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Administred drug</w:t>
            </w:r>
          </w:p>
        </w:tc>
        <w:tc>
          <w:tcPr>
            <w:tcW w:w="4420" w:type="dxa"/>
            <w:gridSpan w:val="2"/>
            <w:tcBorders>
              <w:top w:val="single" w:sz="4" w:space="0" w:color="auto"/>
              <w:left w:val="nil"/>
              <w:bottom w:val="single" w:sz="4" w:space="0" w:color="auto"/>
              <w:right w:val="nil"/>
            </w:tcBorders>
            <w:shd w:val="clear" w:color="auto" w:fill="auto"/>
            <w:noWrap/>
            <w:vAlign w:val="bottom"/>
            <w:hideMark/>
          </w:tcPr>
          <w:p w14:paraId="1A0050A0"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Change from baseline @ Week 14</w:t>
            </w:r>
          </w:p>
        </w:tc>
      </w:tr>
      <w:tr w:rsidR="00F4152A" w:rsidRPr="00D65D2A" w14:paraId="3E7F8E8A" w14:textId="77777777" w:rsidTr="00F4152A">
        <w:trPr>
          <w:trHeight w:val="290"/>
          <w:jc w:val="center"/>
        </w:trPr>
        <w:tc>
          <w:tcPr>
            <w:tcW w:w="3640" w:type="dxa"/>
            <w:tcBorders>
              <w:top w:val="nil"/>
              <w:left w:val="nil"/>
              <w:bottom w:val="nil"/>
              <w:right w:val="nil"/>
            </w:tcBorders>
            <w:shd w:val="clear" w:color="auto" w:fill="auto"/>
            <w:noWrap/>
            <w:vAlign w:val="bottom"/>
            <w:hideMark/>
          </w:tcPr>
          <w:p w14:paraId="41BDC8BA"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p>
        </w:tc>
        <w:tc>
          <w:tcPr>
            <w:tcW w:w="2210" w:type="dxa"/>
            <w:tcBorders>
              <w:top w:val="nil"/>
              <w:left w:val="nil"/>
              <w:bottom w:val="single" w:sz="4" w:space="0" w:color="auto"/>
              <w:right w:val="nil"/>
            </w:tcBorders>
            <w:shd w:val="clear" w:color="auto" w:fill="auto"/>
            <w:noWrap/>
            <w:vAlign w:val="bottom"/>
            <w:hideMark/>
          </w:tcPr>
          <w:p w14:paraId="28CA4EC1"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Pain</w:t>
            </w:r>
          </w:p>
        </w:tc>
        <w:tc>
          <w:tcPr>
            <w:tcW w:w="2210" w:type="dxa"/>
            <w:tcBorders>
              <w:top w:val="nil"/>
              <w:left w:val="nil"/>
              <w:bottom w:val="single" w:sz="4" w:space="0" w:color="auto"/>
              <w:right w:val="nil"/>
            </w:tcBorders>
            <w:shd w:val="clear" w:color="auto" w:fill="auto"/>
            <w:noWrap/>
            <w:vAlign w:val="bottom"/>
            <w:hideMark/>
          </w:tcPr>
          <w:p w14:paraId="743C0B04"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FIQR</w:t>
            </w:r>
          </w:p>
        </w:tc>
      </w:tr>
      <w:tr w:rsidR="00F4152A" w:rsidRPr="00D65D2A" w14:paraId="2719F50B" w14:textId="77777777" w:rsidTr="00F4152A">
        <w:trPr>
          <w:trHeight w:val="290"/>
          <w:jc w:val="center"/>
        </w:trPr>
        <w:tc>
          <w:tcPr>
            <w:tcW w:w="3640" w:type="dxa"/>
            <w:tcBorders>
              <w:top w:val="nil"/>
              <w:left w:val="nil"/>
              <w:bottom w:val="nil"/>
              <w:right w:val="nil"/>
            </w:tcBorders>
            <w:shd w:val="clear" w:color="auto" w:fill="auto"/>
            <w:noWrap/>
            <w:vAlign w:val="bottom"/>
            <w:hideMark/>
          </w:tcPr>
          <w:p w14:paraId="3E8C282A" w14:textId="77777777" w:rsidR="00F4152A" w:rsidRPr="00D65D2A" w:rsidRDefault="00F4152A" w:rsidP="00F4152A">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TNX-SL 102 5.6mg</w:t>
            </w:r>
          </w:p>
        </w:tc>
        <w:tc>
          <w:tcPr>
            <w:tcW w:w="2210" w:type="dxa"/>
            <w:tcBorders>
              <w:top w:val="nil"/>
              <w:left w:val="nil"/>
              <w:bottom w:val="nil"/>
              <w:right w:val="nil"/>
            </w:tcBorders>
            <w:shd w:val="clear" w:color="auto" w:fill="auto"/>
            <w:noWrap/>
            <w:vAlign w:val="bottom"/>
            <w:hideMark/>
          </w:tcPr>
          <w:p w14:paraId="21ED998B"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-0.6 (0.000)</w:t>
            </w:r>
          </w:p>
        </w:tc>
        <w:tc>
          <w:tcPr>
            <w:tcW w:w="2210" w:type="dxa"/>
            <w:tcBorders>
              <w:top w:val="nil"/>
              <w:left w:val="nil"/>
              <w:bottom w:val="nil"/>
              <w:right w:val="nil"/>
            </w:tcBorders>
            <w:shd w:val="clear" w:color="auto" w:fill="auto"/>
            <w:noWrap/>
            <w:vAlign w:val="bottom"/>
            <w:hideMark/>
          </w:tcPr>
          <w:p w14:paraId="33282B82"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-7.6 (0.000)</w:t>
            </w:r>
          </w:p>
        </w:tc>
      </w:tr>
      <w:tr w:rsidR="00F4152A" w:rsidRPr="00D65D2A" w14:paraId="7682575F" w14:textId="77777777" w:rsidTr="00F4152A">
        <w:trPr>
          <w:trHeight w:val="290"/>
          <w:jc w:val="center"/>
        </w:trPr>
        <w:tc>
          <w:tcPr>
            <w:tcW w:w="3640" w:type="dxa"/>
            <w:tcBorders>
              <w:top w:val="nil"/>
              <w:left w:val="nil"/>
              <w:bottom w:val="nil"/>
              <w:right w:val="nil"/>
            </w:tcBorders>
            <w:shd w:val="clear" w:color="auto" w:fill="auto"/>
            <w:noWrap/>
            <w:vAlign w:val="bottom"/>
            <w:hideMark/>
          </w:tcPr>
          <w:p w14:paraId="29DA602B" w14:textId="77777777" w:rsidR="00F4152A" w:rsidRPr="00D65D2A" w:rsidRDefault="00F4152A" w:rsidP="00F4152A">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AXS-14 4mg</w:t>
            </w:r>
          </w:p>
        </w:tc>
        <w:tc>
          <w:tcPr>
            <w:tcW w:w="2210" w:type="dxa"/>
            <w:tcBorders>
              <w:top w:val="nil"/>
              <w:left w:val="nil"/>
              <w:bottom w:val="nil"/>
              <w:right w:val="nil"/>
            </w:tcBorders>
            <w:shd w:val="clear" w:color="auto" w:fill="auto"/>
            <w:noWrap/>
            <w:vAlign w:val="bottom"/>
            <w:hideMark/>
          </w:tcPr>
          <w:p w14:paraId="39A81BCD"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-0.73 (0.000)</w:t>
            </w:r>
          </w:p>
        </w:tc>
        <w:tc>
          <w:tcPr>
            <w:tcW w:w="2210" w:type="dxa"/>
            <w:tcBorders>
              <w:top w:val="nil"/>
              <w:left w:val="nil"/>
              <w:bottom w:val="nil"/>
              <w:right w:val="nil"/>
            </w:tcBorders>
            <w:shd w:val="clear" w:color="auto" w:fill="auto"/>
            <w:noWrap/>
            <w:vAlign w:val="bottom"/>
            <w:hideMark/>
          </w:tcPr>
          <w:p w14:paraId="013F5A93"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-7.11 (0.000)</w:t>
            </w:r>
          </w:p>
        </w:tc>
      </w:tr>
      <w:tr w:rsidR="00F4152A" w:rsidRPr="00D65D2A" w14:paraId="558E6F0A" w14:textId="77777777" w:rsidTr="00F4152A">
        <w:trPr>
          <w:trHeight w:val="290"/>
          <w:jc w:val="center"/>
        </w:trPr>
        <w:tc>
          <w:tcPr>
            <w:tcW w:w="3640" w:type="dxa"/>
            <w:tcBorders>
              <w:top w:val="nil"/>
              <w:left w:val="nil"/>
              <w:bottom w:val="nil"/>
              <w:right w:val="nil"/>
            </w:tcBorders>
            <w:shd w:val="clear" w:color="auto" w:fill="auto"/>
            <w:noWrap/>
            <w:vAlign w:val="bottom"/>
            <w:hideMark/>
          </w:tcPr>
          <w:p w14:paraId="015ECA88" w14:textId="77777777" w:rsidR="00F4152A" w:rsidRPr="00D65D2A" w:rsidRDefault="00F4152A" w:rsidP="00F4152A">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AXS-14 8mg</w:t>
            </w:r>
          </w:p>
        </w:tc>
        <w:tc>
          <w:tcPr>
            <w:tcW w:w="2210" w:type="dxa"/>
            <w:tcBorders>
              <w:top w:val="nil"/>
              <w:left w:val="nil"/>
              <w:bottom w:val="nil"/>
              <w:right w:val="nil"/>
            </w:tcBorders>
            <w:shd w:val="clear" w:color="auto" w:fill="auto"/>
            <w:noWrap/>
            <w:vAlign w:val="bottom"/>
            <w:hideMark/>
          </w:tcPr>
          <w:p w14:paraId="2C8C7B87"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-0.76 (0.000)</w:t>
            </w:r>
          </w:p>
        </w:tc>
        <w:tc>
          <w:tcPr>
            <w:tcW w:w="2210" w:type="dxa"/>
            <w:tcBorders>
              <w:top w:val="nil"/>
              <w:left w:val="nil"/>
              <w:bottom w:val="nil"/>
              <w:right w:val="nil"/>
            </w:tcBorders>
            <w:shd w:val="clear" w:color="auto" w:fill="auto"/>
            <w:noWrap/>
            <w:vAlign w:val="bottom"/>
            <w:hideMark/>
          </w:tcPr>
          <w:p w14:paraId="246BC5C2"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-6.67 (0.000)</w:t>
            </w:r>
          </w:p>
        </w:tc>
      </w:tr>
      <w:tr w:rsidR="00F4152A" w:rsidRPr="00D65D2A" w14:paraId="12E0BC17" w14:textId="77777777" w:rsidTr="00F4152A">
        <w:trPr>
          <w:trHeight w:val="290"/>
          <w:jc w:val="center"/>
        </w:trPr>
        <w:tc>
          <w:tcPr>
            <w:tcW w:w="3640" w:type="dxa"/>
            <w:tcBorders>
              <w:top w:val="nil"/>
              <w:left w:val="nil"/>
              <w:bottom w:val="single" w:sz="4" w:space="0" w:color="auto"/>
              <w:right w:val="nil"/>
            </w:tcBorders>
            <w:shd w:val="clear" w:color="auto" w:fill="auto"/>
            <w:noWrap/>
            <w:vAlign w:val="bottom"/>
            <w:hideMark/>
          </w:tcPr>
          <w:p w14:paraId="5446C6BC" w14:textId="77777777" w:rsidR="00F4152A" w:rsidRPr="00D65D2A" w:rsidRDefault="00F4152A" w:rsidP="00F4152A">
            <w:pPr>
              <w:spacing w:after="0" w:line="240" w:lineRule="auto"/>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AXS-14 10mg</w:t>
            </w:r>
          </w:p>
        </w:tc>
        <w:tc>
          <w:tcPr>
            <w:tcW w:w="2210" w:type="dxa"/>
            <w:tcBorders>
              <w:top w:val="nil"/>
              <w:left w:val="nil"/>
              <w:bottom w:val="single" w:sz="4" w:space="0" w:color="auto"/>
              <w:right w:val="nil"/>
            </w:tcBorders>
            <w:shd w:val="clear" w:color="auto" w:fill="auto"/>
            <w:noWrap/>
            <w:vAlign w:val="bottom"/>
            <w:hideMark/>
          </w:tcPr>
          <w:p w14:paraId="3A42F243"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-0.42 (0.025)</w:t>
            </w:r>
          </w:p>
        </w:tc>
        <w:tc>
          <w:tcPr>
            <w:tcW w:w="2210" w:type="dxa"/>
            <w:tcBorders>
              <w:top w:val="nil"/>
              <w:left w:val="nil"/>
              <w:bottom w:val="single" w:sz="4" w:space="0" w:color="auto"/>
              <w:right w:val="nil"/>
            </w:tcBorders>
            <w:shd w:val="clear" w:color="auto" w:fill="auto"/>
            <w:noWrap/>
            <w:vAlign w:val="bottom"/>
            <w:hideMark/>
          </w:tcPr>
          <w:p w14:paraId="3554D79F" w14:textId="77777777" w:rsidR="00F4152A" w:rsidRPr="00D65D2A" w:rsidRDefault="00F4152A" w:rsidP="00F4152A">
            <w:pPr>
              <w:spacing w:after="0" w:line="240" w:lineRule="auto"/>
              <w:jc w:val="center"/>
              <w:rPr>
                <w:rFonts w:ascii="Calibri" w:eastAsia="Times New Roman" w:hAnsi="Calibri" w:cs="Calibri"/>
                <w:color w:val="000000"/>
                <w:kern w:val="0"/>
                <w:sz w:val="22"/>
                <w:szCs w:val="22"/>
                <w14:ligatures w14:val="none"/>
              </w:rPr>
            </w:pPr>
            <w:r w:rsidRPr="00D65D2A">
              <w:rPr>
                <w:rFonts w:ascii="Calibri" w:eastAsia="Times New Roman" w:hAnsi="Calibri" w:cs="Calibri"/>
                <w:color w:val="000000"/>
                <w:kern w:val="0"/>
                <w:sz w:val="22"/>
                <w:szCs w:val="22"/>
                <w14:ligatures w14:val="none"/>
              </w:rPr>
              <w:t>-3.87 (0.023)</w:t>
            </w:r>
          </w:p>
        </w:tc>
      </w:tr>
    </w:tbl>
    <w:p w14:paraId="2131904F" w14:textId="06FFE14F" w:rsidR="00F4152A" w:rsidRPr="00D65D2A" w:rsidRDefault="00F4152A" w:rsidP="00F4152A">
      <w:pPr>
        <w:rPr>
          <w:sz w:val="18"/>
          <w:szCs w:val="18"/>
          <w:lang w:val="en-US"/>
        </w:rPr>
      </w:pPr>
      <w:r w:rsidRPr="00D65D2A">
        <w:rPr>
          <w:lang w:val="en-US"/>
        </w:rPr>
        <w:tab/>
      </w:r>
      <w:r w:rsidRPr="00D65D2A">
        <w:rPr>
          <w:sz w:val="18"/>
          <w:szCs w:val="18"/>
          <w:lang w:val="en-US"/>
        </w:rPr>
        <w:t>P values in parentheses</w:t>
      </w:r>
    </w:p>
    <w:p w14:paraId="5FE2CAFB" w14:textId="459C7028" w:rsidR="00F4152A" w:rsidRPr="00D65D2A" w:rsidRDefault="00F4152A" w:rsidP="00F71D1A">
      <w:pPr>
        <w:rPr>
          <w:lang w:val="en-US"/>
        </w:rPr>
      </w:pPr>
      <w:r w:rsidRPr="00D65D2A">
        <w:rPr>
          <w:lang w:val="en-US"/>
        </w:rPr>
        <w:t xml:space="preserve">The table displays the change from baseline in the control groups for pain and FIQR measures, both commonly used in trials </w:t>
      </w:r>
      <w:r w:rsidR="00F71D1A" w:rsidRPr="00D65D2A">
        <w:rPr>
          <w:lang w:val="en-US"/>
        </w:rPr>
        <w:t>measuring efficacy in treating</w:t>
      </w:r>
      <w:r w:rsidRPr="00D65D2A">
        <w:rPr>
          <w:lang w:val="en-US"/>
        </w:rPr>
        <w:t xml:space="preserve"> FM. Notably, both indications show significant decrease</w:t>
      </w:r>
      <w:r w:rsidR="00F71D1A" w:rsidRPr="00D65D2A">
        <w:rPr>
          <w:lang w:val="en-US"/>
        </w:rPr>
        <w:t xml:space="preserve"> in pain and FIQR scales</w:t>
      </w:r>
      <w:r w:rsidRPr="00D65D2A">
        <w:rPr>
          <w:lang w:val="en-US"/>
        </w:rPr>
        <w:t>. Interestingly, AXS-14 has no significant effect on the 10mg dosage</w:t>
      </w:r>
      <w:r w:rsidR="00F71D1A" w:rsidRPr="00D65D2A">
        <w:rPr>
          <w:lang w:val="en-US"/>
        </w:rPr>
        <w:t>, with</w:t>
      </w:r>
      <w:r w:rsidRPr="00D65D2A">
        <w:rPr>
          <w:lang w:val="en-US"/>
        </w:rPr>
        <w:t xml:space="preserve"> AXS</w:t>
      </w:r>
      <w:r w:rsidR="00F71D1A" w:rsidRPr="00D65D2A">
        <w:rPr>
          <w:lang w:val="en-US"/>
        </w:rPr>
        <w:t xml:space="preserve"> 4mg and 8mh</w:t>
      </w:r>
      <w:r w:rsidRPr="00D65D2A">
        <w:rPr>
          <w:lang w:val="en-US"/>
        </w:rPr>
        <w:t xml:space="preserve"> show</w:t>
      </w:r>
      <w:r w:rsidR="00F71D1A" w:rsidRPr="00D65D2A">
        <w:rPr>
          <w:lang w:val="en-US"/>
        </w:rPr>
        <w:t>ing</w:t>
      </w:r>
      <w:r w:rsidRPr="00D65D2A">
        <w:rPr>
          <w:lang w:val="en-US"/>
        </w:rPr>
        <w:t xml:space="preserve"> marginal </w:t>
      </w:r>
      <w:r w:rsidR="00F71D1A" w:rsidRPr="00D65D2A">
        <w:rPr>
          <w:lang w:val="en-US"/>
        </w:rPr>
        <w:t>better</w:t>
      </w:r>
      <w:r w:rsidRPr="00D65D2A">
        <w:rPr>
          <w:lang w:val="en-US"/>
        </w:rPr>
        <w:t xml:space="preserve"> </w:t>
      </w:r>
      <w:r w:rsidR="00F71D1A" w:rsidRPr="00D65D2A">
        <w:rPr>
          <w:lang w:val="en-US"/>
        </w:rPr>
        <w:t>results</w:t>
      </w:r>
      <w:r w:rsidRPr="00D65D2A">
        <w:rPr>
          <w:lang w:val="en-US"/>
        </w:rPr>
        <w:t xml:space="preserve"> than TNX while the later yielded </w:t>
      </w:r>
      <w:r w:rsidR="00F71D1A" w:rsidRPr="00D65D2A">
        <w:rPr>
          <w:lang w:val="en-US"/>
        </w:rPr>
        <w:t xml:space="preserve">a </w:t>
      </w:r>
      <w:r w:rsidRPr="00D65D2A">
        <w:rPr>
          <w:lang w:val="en-US"/>
        </w:rPr>
        <w:t xml:space="preserve">better effect on the FIQR </w:t>
      </w:r>
      <w:r w:rsidRPr="00D65D2A">
        <w:rPr>
          <w:lang w:val="en-US"/>
        </w:rPr>
        <w:lastRenderedPageBreak/>
        <w:t>scale.</w:t>
      </w:r>
      <w:r w:rsidR="001D33AD" w:rsidRPr="00D65D2A">
        <w:rPr>
          <w:lang w:val="en-US"/>
        </w:rPr>
        <w:t xml:space="preserve"> In short, both are comparable in efficacy, but AXS-14 still needs an additional phase III trial to support an NDA. </w:t>
      </w:r>
      <w:r w:rsidR="00F71D1A" w:rsidRPr="00D65D2A">
        <w:rPr>
          <w:lang w:val="en-US"/>
        </w:rPr>
        <w:t xml:space="preserve">With a first mover advantage and clear improvements to serious FM symptoms, I believe </w:t>
      </w:r>
      <w:proofErr w:type="spellStart"/>
      <w:r w:rsidR="00F71D1A" w:rsidRPr="00D65D2A">
        <w:rPr>
          <w:lang w:val="en-US"/>
        </w:rPr>
        <w:t>Tonmya</w:t>
      </w:r>
      <w:proofErr w:type="spellEnd"/>
      <w:r w:rsidR="00F71D1A" w:rsidRPr="00D65D2A">
        <w:rPr>
          <w:lang w:val="en-US"/>
        </w:rPr>
        <w:t xml:space="preserve"> could achieve peak sales</w:t>
      </w:r>
      <w:r w:rsidR="001D33AD" w:rsidRPr="00D65D2A">
        <w:rPr>
          <w:lang w:val="en-US"/>
        </w:rPr>
        <w:t xml:space="preserve"> close to </w:t>
      </w:r>
      <w:r w:rsidR="00F71D1A" w:rsidRPr="00D65D2A">
        <w:rPr>
          <w:lang w:val="en-US"/>
        </w:rPr>
        <w:t>$</w:t>
      </w:r>
      <w:r w:rsidR="00250DD9" w:rsidRPr="00D65D2A">
        <w:rPr>
          <w:lang w:val="en-US"/>
        </w:rPr>
        <w:t>500</w:t>
      </w:r>
      <w:r w:rsidR="00F71D1A" w:rsidRPr="00D65D2A">
        <w:rPr>
          <w:lang w:val="en-US"/>
        </w:rPr>
        <w:t xml:space="preserve"> million</w:t>
      </w:r>
      <w:r w:rsidR="00250DD9" w:rsidRPr="00D65D2A">
        <w:rPr>
          <w:lang w:val="en-US"/>
        </w:rPr>
        <w:t xml:space="preserve"> USD.</w:t>
      </w:r>
    </w:p>
    <w:p w14:paraId="4BB25D40" w14:textId="77777777" w:rsidR="00F71D1A" w:rsidRPr="00F71D1A" w:rsidRDefault="00F71D1A" w:rsidP="00F71D1A">
      <w:r w:rsidRPr="00F71D1A">
        <w:t>This thesis is based on the approval of Tonmya on August 15. I assign a high conditional probability of approval based on:</w:t>
      </w:r>
    </w:p>
    <w:p w14:paraId="14B03034" w14:textId="77777777" w:rsidR="00F71D1A" w:rsidRPr="00D65D2A" w:rsidRDefault="00F71D1A" w:rsidP="00F71D1A">
      <w:pPr>
        <w:pStyle w:val="ListParagraph"/>
        <w:numPr>
          <w:ilvl w:val="0"/>
          <w:numId w:val="4"/>
        </w:numPr>
      </w:pPr>
      <w:r w:rsidRPr="00D65D2A">
        <w:t>Accepted NDA + Two positive phase III trials + PDUFA = Reasonable likelihood of approval</w:t>
      </w:r>
    </w:p>
    <w:p w14:paraId="77E0B0CF" w14:textId="77777777" w:rsidR="00250DD9" w:rsidRPr="00D65D2A" w:rsidRDefault="00250DD9" w:rsidP="00133F6F">
      <w:pPr>
        <w:ind w:left="720"/>
        <w:rPr>
          <w:lang w:val="en-US"/>
        </w:rPr>
      </w:pPr>
    </w:p>
    <w:p w14:paraId="4C0DB848" w14:textId="70DD1523" w:rsidR="008026C8" w:rsidRPr="00D65D2A" w:rsidRDefault="00D65D2A" w:rsidP="00E64AAC">
      <w:pPr>
        <w:rPr>
          <w:b/>
          <w:bCs/>
          <w:lang w:val="en-US"/>
        </w:rPr>
      </w:pPr>
      <w:r>
        <w:rPr>
          <w:b/>
          <w:bCs/>
          <w:lang w:val="en-US"/>
        </w:rPr>
        <w:t xml:space="preserve">Valuing </w:t>
      </w:r>
      <w:proofErr w:type="spellStart"/>
      <w:r>
        <w:rPr>
          <w:b/>
          <w:bCs/>
          <w:lang w:val="en-US"/>
        </w:rPr>
        <w:t>Tonix</w:t>
      </w:r>
      <w:proofErr w:type="spellEnd"/>
    </w:p>
    <w:p w14:paraId="01B5DC79" w14:textId="0FEAA946" w:rsidR="00F71D1A" w:rsidRPr="00F71D1A" w:rsidRDefault="00F71D1A" w:rsidP="00F71D1A">
      <w:r w:rsidRPr="00F71D1A">
        <w:t>Based on analyst estimates and historical sales for Lyrica and Cymbalta, I estimate that Tonmya could generate ~$70 million in its launch year, with peak sales near $500 million</w:t>
      </w:r>
      <w:r w:rsidRPr="00D65D2A">
        <w:rPr>
          <w:lang w:val="en-US"/>
        </w:rPr>
        <w:t xml:space="preserve">, </w:t>
      </w:r>
      <w:r w:rsidRPr="00F71D1A">
        <w:t xml:space="preserve"> even after accounting for market share loss to AXS-14.</w:t>
      </w:r>
      <w:r w:rsidRPr="00D65D2A">
        <w:rPr>
          <w:lang w:val="en-US"/>
        </w:rPr>
        <w:t xml:space="preserve"> For </w:t>
      </w:r>
      <w:r w:rsidR="001A2898" w:rsidRPr="00D65D2A">
        <w:rPr>
          <w:lang w:val="en-US"/>
        </w:rPr>
        <w:t>comparison’s</w:t>
      </w:r>
      <w:r w:rsidRPr="00D65D2A">
        <w:rPr>
          <w:lang w:val="en-US"/>
        </w:rPr>
        <w:t xml:space="preserve"> sake</w:t>
      </w:r>
      <w:r w:rsidRPr="00F71D1A">
        <w:t>, Lyrica reached ~$1.5 billion in peak annual sales.  This supports a conservative valuation of $70 per share for Tonix.</w:t>
      </w:r>
    </w:p>
    <w:p w14:paraId="38D7B2D3" w14:textId="4914EA48" w:rsidR="00F71D1A" w:rsidRPr="00F71D1A" w:rsidRDefault="00D65D2A" w:rsidP="00F71D1A">
      <w:pPr>
        <w:rPr>
          <w:lang w:val="en-US"/>
        </w:rPr>
      </w:pPr>
      <w:r w:rsidRPr="00F71D1A">
        <w:t>In my view, this is an opportunity to buy a proven-mechanism drug with an entire pipeline effectively for free</w:t>
      </w:r>
      <w:r w:rsidRPr="00D65D2A">
        <w:rPr>
          <w:lang w:val="en-US"/>
        </w:rPr>
        <w:t xml:space="preserve">. </w:t>
      </w:r>
      <w:r w:rsidR="00F71D1A" w:rsidRPr="00F71D1A">
        <w:t>At the time of writing, the stock trades at $46.49, offering roughly 50% upside.</w:t>
      </w:r>
    </w:p>
    <w:p w14:paraId="45F40A38" w14:textId="77777777" w:rsidR="00F71D1A" w:rsidRPr="00F71D1A" w:rsidRDefault="00F71D1A" w:rsidP="00F71D1A">
      <w:r w:rsidRPr="00F71D1A">
        <w:t>I have built a 5% position in the stock and will scale further if the PDUFA catalyst is positive. If not, the thesis is partially invalidated, and I will exit the position. TNXP’s valuation depends heavily on Tonmya’s approval timeline.</w:t>
      </w:r>
    </w:p>
    <w:p w14:paraId="4CDFE337" w14:textId="5E855FC6" w:rsidR="00D65D2A" w:rsidRPr="00D65D2A" w:rsidRDefault="00D65D2A" w:rsidP="00D65D2A">
      <w:pPr>
        <w:rPr>
          <w:b/>
          <w:bCs/>
          <w:lang w:val="en-US"/>
        </w:rPr>
      </w:pPr>
      <w:r w:rsidRPr="00D65D2A">
        <w:rPr>
          <w:b/>
          <w:bCs/>
          <w:lang w:val="en-US"/>
        </w:rPr>
        <w:t>Bottomline</w:t>
      </w:r>
    </w:p>
    <w:p w14:paraId="441C895A" w14:textId="77777777" w:rsidR="00D65D2A" w:rsidRPr="00D65D2A" w:rsidRDefault="00D65D2A" w:rsidP="00D65D2A">
      <w:pPr>
        <w:numPr>
          <w:ilvl w:val="0"/>
          <w:numId w:val="5"/>
        </w:numPr>
      </w:pPr>
      <w:r w:rsidRPr="00D65D2A">
        <w:t>We are buying a drug that could generate $1+ billion in sales at a $170 million market cap.</w:t>
      </w:r>
    </w:p>
    <w:p w14:paraId="15CE0968" w14:textId="77777777" w:rsidR="00D65D2A" w:rsidRPr="00D65D2A" w:rsidRDefault="00D65D2A" w:rsidP="00D65D2A">
      <w:pPr>
        <w:numPr>
          <w:ilvl w:val="0"/>
          <w:numId w:val="5"/>
        </w:numPr>
      </w:pPr>
      <w:r w:rsidRPr="00D65D2A">
        <w:t>Approval is likely given the strength of the trial data.</w:t>
      </w:r>
    </w:p>
    <w:p w14:paraId="1C4B87BE" w14:textId="77777777" w:rsidR="00D65D2A" w:rsidRPr="00D65D2A" w:rsidRDefault="00D65D2A" w:rsidP="00D65D2A">
      <w:pPr>
        <w:numPr>
          <w:ilvl w:val="0"/>
          <w:numId w:val="5"/>
        </w:numPr>
      </w:pPr>
      <w:r w:rsidRPr="00D65D2A">
        <w:t>This is an asymmetric opportunity — you get the rest of the pipeline at no additional cost.</w:t>
      </w:r>
    </w:p>
    <w:p w14:paraId="09C7CBB4" w14:textId="77777777" w:rsidR="003432A6" w:rsidRDefault="003432A6" w:rsidP="00E64AAC">
      <w:pPr>
        <w:rPr>
          <w:lang w:val="en-US"/>
        </w:rPr>
      </w:pPr>
    </w:p>
    <w:p w14:paraId="7E9823EE" w14:textId="0908418E" w:rsidR="003432A6" w:rsidRDefault="003432A6" w:rsidP="00E64AAC">
      <w:pPr>
        <w:rPr>
          <w:lang w:val="en-US"/>
        </w:rPr>
      </w:pPr>
    </w:p>
    <w:p w14:paraId="7D0365AE" w14:textId="1CC7AB8C" w:rsidR="00AE055F" w:rsidRPr="007A4F78" w:rsidRDefault="00AE055F" w:rsidP="00E64AAC">
      <w:pPr>
        <w:rPr>
          <w:lang w:val="en-US"/>
        </w:rPr>
      </w:pPr>
    </w:p>
    <w:sectPr w:rsidR="00AE055F" w:rsidRPr="007A4F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A4730"/>
    <w:multiLevelType w:val="hybridMultilevel"/>
    <w:tmpl w:val="96C232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76419D8"/>
    <w:multiLevelType w:val="hybridMultilevel"/>
    <w:tmpl w:val="5164D51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1273CC5"/>
    <w:multiLevelType w:val="multilevel"/>
    <w:tmpl w:val="220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706CF"/>
    <w:multiLevelType w:val="multilevel"/>
    <w:tmpl w:val="DF0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B3A0A"/>
    <w:multiLevelType w:val="hybridMultilevel"/>
    <w:tmpl w:val="43C2BE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00554811">
    <w:abstractNumId w:val="1"/>
  </w:num>
  <w:num w:numId="2" w16cid:durableId="1738548389">
    <w:abstractNumId w:val="3"/>
  </w:num>
  <w:num w:numId="3" w16cid:durableId="806124782">
    <w:abstractNumId w:val="4"/>
  </w:num>
  <w:num w:numId="4" w16cid:durableId="2054452882">
    <w:abstractNumId w:val="0"/>
  </w:num>
  <w:num w:numId="5" w16cid:durableId="1784225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5C"/>
    <w:rsid w:val="00040A12"/>
    <w:rsid w:val="00071255"/>
    <w:rsid w:val="000A3704"/>
    <w:rsid w:val="000F7197"/>
    <w:rsid w:val="00133F6F"/>
    <w:rsid w:val="00137F51"/>
    <w:rsid w:val="001A2898"/>
    <w:rsid w:val="001D33AD"/>
    <w:rsid w:val="00233CAB"/>
    <w:rsid w:val="00250DD9"/>
    <w:rsid w:val="002A4146"/>
    <w:rsid w:val="002C6F90"/>
    <w:rsid w:val="002C7027"/>
    <w:rsid w:val="003432A6"/>
    <w:rsid w:val="003F1882"/>
    <w:rsid w:val="00403129"/>
    <w:rsid w:val="004214F3"/>
    <w:rsid w:val="0049728B"/>
    <w:rsid w:val="004A0CCF"/>
    <w:rsid w:val="004A176A"/>
    <w:rsid w:val="0053086D"/>
    <w:rsid w:val="005477E7"/>
    <w:rsid w:val="005A43F7"/>
    <w:rsid w:val="005E3872"/>
    <w:rsid w:val="006875CB"/>
    <w:rsid w:val="00697715"/>
    <w:rsid w:val="00757CC7"/>
    <w:rsid w:val="007A4F78"/>
    <w:rsid w:val="007A58D1"/>
    <w:rsid w:val="008026C8"/>
    <w:rsid w:val="00877C23"/>
    <w:rsid w:val="00913270"/>
    <w:rsid w:val="009972EA"/>
    <w:rsid w:val="00A140C4"/>
    <w:rsid w:val="00A437C0"/>
    <w:rsid w:val="00A6055E"/>
    <w:rsid w:val="00AD699C"/>
    <w:rsid w:val="00AE055F"/>
    <w:rsid w:val="00B522B2"/>
    <w:rsid w:val="00B803C9"/>
    <w:rsid w:val="00B9528A"/>
    <w:rsid w:val="00C3318F"/>
    <w:rsid w:val="00C763A1"/>
    <w:rsid w:val="00C81813"/>
    <w:rsid w:val="00D65D2A"/>
    <w:rsid w:val="00D6773D"/>
    <w:rsid w:val="00D814DE"/>
    <w:rsid w:val="00DA240A"/>
    <w:rsid w:val="00DD42E6"/>
    <w:rsid w:val="00DF13E0"/>
    <w:rsid w:val="00DF6251"/>
    <w:rsid w:val="00E64AAC"/>
    <w:rsid w:val="00E905AB"/>
    <w:rsid w:val="00E95D5C"/>
    <w:rsid w:val="00F129DC"/>
    <w:rsid w:val="00F371BC"/>
    <w:rsid w:val="00F4152A"/>
    <w:rsid w:val="00F71D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53D6"/>
  <w15:chartTrackingRefBased/>
  <w15:docId w15:val="{C7D80F26-810B-4EA3-AA4F-CB1EE9D4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D5C"/>
    <w:rPr>
      <w:rFonts w:eastAsiaTheme="majorEastAsia" w:cstheme="majorBidi"/>
      <w:color w:val="272727" w:themeColor="text1" w:themeTint="D8"/>
    </w:rPr>
  </w:style>
  <w:style w:type="paragraph" w:styleId="Title">
    <w:name w:val="Title"/>
    <w:basedOn w:val="Normal"/>
    <w:next w:val="Normal"/>
    <w:link w:val="TitleChar"/>
    <w:uiPriority w:val="10"/>
    <w:qFormat/>
    <w:rsid w:val="00E95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D5C"/>
    <w:pPr>
      <w:spacing w:before="160"/>
      <w:jc w:val="center"/>
    </w:pPr>
    <w:rPr>
      <w:i/>
      <w:iCs/>
      <w:color w:val="404040" w:themeColor="text1" w:themeTint="BF"/>
    </w:rPr>
  </w:style>
  <w:style w:type="character" w:customStyle="1" w:styleId="QuoteChar">
    <w:name w:val="Quote Char"/>
    <w:basedOn w:val="DefaultParagraphFont"/>
    <w:link w:val="Quote"/>
    <w:uiPriority w:val="29"/>
    <w:rsid w:val="00E95D5C"/>
    <w:rPr>
      <w:i/>
      <w:iCs/>
      <w:color w:val="404040" w:themeColor="text1" w:themeTint="BF"/>
    </w:rPr>
  </w:style>
  <w:style w:type="paragraph" w:styleId="ListParagraph">
    <w:name w:val="List Paragraph"/>
    <w:basedOn w:val="Normal"/>
    <w:uiPriority w:val="34"/>
    <w:qFormat/>
    <w:rsid w:val="00E95D5C"/>
    <w:pPr>
      <w:ind w:left="720"/>
      <w:contextualSpacing/>
    </w:pPr>
  </w:style>
  <w:style w:type="character" w:styleId="IntenseEmphasis">
    <w:name w:val="Intense Emphasis"/>
    <w:basedOn w:val="DefaultParagraphFont"/>
    <w:uiPriority w:val="21"/>
    <w:qFormat/>
    <w:rsid w:val="00E95D5C"/>
    <w:rPr>
      <w:i/>
      <w:iCs/>
      <w:color w:val="0F4761" w:themeColor="accent1" w:themeShade="BF"/>
    </w:rPr>
  </w:style>
  <w:style w:type="paragraph" w:styleId="IntenseQuote">
    <w:name w:val="Intense Quote"/>
    <w:basedOn w:val="Normal"/>
    <w:next w:val="Normal"/>
    <w:link w:val="IntenseQuoteChar"/>
    <w:uiPriority w:val="30"/>
    <w:qFormat/>
    <w:rsid w:val="00E95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D5C"/>
    <w:rPr>
      <w:i/>
      <w:iCs/>
      <w:color w:val="0F4761" w:themeColor="accent1" w:themeShade="BF"/>
    </w:rPr>
  </w:style>
  <w:style w:type="character" w:styleId="IntenseReference">
    <w:name w:val="Intense Reference"/>
    <w:basedOn w:val="DefaultParagraphFont"/>
    <w:uiPriority w:val="32"/>
    <w:qFormat/>
    <w:rsid w:val="00E95D5C"/>
    <w:rPr>
      <w:b/>
      <w:bCs/>
      <w:smallCaps/>
      <w:color w:val="0F4761" w:themeColor="accent1" w:themeShade="BF"/>
      <w:spacing w:val="5"/>
    </w:rPr>
  </w:style>
  <w:style w:type="character" w:styleId="Hyperlink">
    <w:name w:val="Hyperlink"/>
    <w:basedOn w:val="DefaultParagraphFont"/>
    <w:uiPriority w:val="99"/>
    <w:unhideWhenUsed/>
    <w:rsid w:val="003432A6"/>
    <w:rPr>
      <w:color w:val="467886" w:themeColor="hyperlink"/>
      <w:u w:val="single"/>
    </w:rPr>
  </w:style>
  <w:style w:type="character" w:styleId="UnresolvedMention">
    <w:name w:val="Unresolved Mention"/>
    <w:basedOn w:val="DefaultParagraphFont"/>
    <w:uiPriority w:val="99"/>
    <w:semiHidden/>
    <w:unhideWhenUsed/>
    <w:rsid w:val="003432A6"/>
    <w:rPr>
      <w:color w:val="605E5C"/>
      <w:shd w:val="clear" w:color="auto" w:fill="E1DFDD"/>
    </w:rPr>
  </w:style>
  <w:style w:type="paragraph" w:styleId="NormalWeb">
    <w:name w:val="Normal (Web)"/>
    <w:basedOn w:val="Normal"/>
    <w:uiPriority w:val="99"/>
    <w:semiHidden/>
    <w:unhideWhenUsed/>
    <w:rsid w:val="00F71D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4752">
      <w:bodyDiv w:val="1"/>
      <w:marLeft w:val="0"/>
      <w:marRight w:val="0"/>
      <w:marTop w:val="0"/>
      <w:marBottom w:val="0"/>
      <w:divBdr>
        <w:top w:val="none" w:sz="0" w:space="0" w:color="auto"/>
        <w:left w:val="none" w:sz="0" w:space="0" w:color="auto"/>
        <w:bottom w:val="none" w:sz="0" w:space="0" w:color="auto"/>
        <w:right w:val="none" w:sz="0" w:space="0" w:color="auto"/>
      </w:divBdr>
    </w:div>
    <w:div w:id="32584247">
      <w:bodyDiv w:val="1"/>
      <w:marLeft w:val="0"/>
      <w:marRight w:val="0"/>
      <w:marTop w:val="0"/>
      <w:marBottom w:val="0"/>
      <w:divBdr>
        <w:top w:val="none" w:sz="0" w:space="0" w:color="auto"/>
        <w:left w:val="none" w:sz="0" w:space="0" w:color="auto"/>
        <w:bottom w:val="none" w:sz="0" w:space="0" w:color="auto"/>
        <w:right w:val="none" w:sz="0" w:space="0" w:color="auto"/>
      </w:divBdr>
    </w:div>
    <w:div w:id="53549631">
      <w:bodyDiv w:val="1"/>
      <w:marLeft w:val="0"/>
      <w:marRight w:val="0"/>
      <w:marTop w:val="0"/>
      <w:marBottom w:val="0"/>
      <w:divBdr>
        <w:top w:val="none" w:sz="0" w:space="0" w:color="auto"/>
        <w:left w:val="none" w:sz="0" w:space="0" w:color="auto"/>
        <w:bottom w:val="none" w:sz="0" w:space="0" w:color="auto"/>
        <w:right w:val="none" w:sz="0" w:space="0" w:color="auto"/>
      </w:divBdr>
    </w:div>
    <w:div w:id="61756888">
      <w:bodyDiv w:val="1"/>
      <w:marLeft w:val="0"/>
      <w:marRight w:val="0"/>
      <w:marTop w:val="0"/>
      <w:marBottom w:val="0"/>
      <w:divBdr>
        <w:top w:val="none" w:sz="0" w:space="0" w:color="auto"/>
        <w:left w:val="none" w:sz="0" w:space="0" w:color="auto"/>
        <w:bottom w:val="none" w:sz="0" w:space="0" w:color="auto"/>
        <w:right w:val="none" w:sz="0" w:space="0" w:color="auto"/>
      </w:divBdr>
    </w:div>
    <w:div w:id="67772598">
      <w:bodyDiv w:val="1"/>
      <w:marLeft w:val="0"/>
      <w:marRight w:val="0"/>
      <w:marTop w:val="0"/>
      <w:marBottom w:val="0"/>
      <w:divBdr>
        <w:top w:val="none" w:sz="0" w:space="0" w:color="auto"/>
        <w:left w:val="none" w:sz="0" w:space="0" w:color="auto"/>
        <w:bottom w:val="none" w:sz="0" w:space="0" w:color="auto"/>
        <w:right w:val="none" w:sz="0" w:space="0" w:color="auto"/>
      </w:divBdr>
    </w:div>
    <w:div w:id="73743438">
      <w:bodyDiv w:val="1"/>
      <w:marLeft w:val="0"/>
      <w:marRight w:val="0"/>
      <w:marTop w:val="0"/>
      <w:marBottom w:val="0"/>
      <w:divBdr>
        <w:top w:val="none" w:sz="0" w:space="0" w:color="auto"/>
        <w:left w:val="none" w:sz="0" w:space="0" w:color="auto"/>
        <w:bottom w:val="none" w:sz="0" w:space="0" w:color="auto"/>
        <w:right w:val="none" w:sz="0" w:space="0" w:color="auto"/>
      </w:divBdr>
    </w:div>
    <w:div w:id="228394047">
      <w:bodyDiv w:val="1"/>
      <w:marLeft w:val="0"/>
      <w:marRight w:val="0"/>
      <w:marTop w:val="0"/>
      <w:marBottom w:val="0"/>
      <w:divBdr>
        <w:top w:val="none" w:sz="0" w:space="0" w:color="auto"/>
        <w:left w:val="none" w:sz="0" w:space="0" w:color="auto"/>
        <w:bottom w:val="none" w:sz="0" w:space="0" w:color="auto"/>
        <w:right w:val="none" w:sz="0" w:space="0" w:color="auto"/>
      </w:divBdr>
    </w:div>
    <w:div w:id="443697319">
      <w:bodyDiv w:val="1"/>
      <w:marLeft w:val="0"/>
      <w:marRight w:val="0"/>
      <w:marTop w:val="0"/>
      <w:marBottom w:val="0"/>
      <w:divBdr>
        <w:top w:val="none" w:sz="0" w:space="0" w:color="auto"/>
        <w:left w:val="none" w:sz="0" w:space="0" w:color="auto"/>
        <w:bottom w:val="none" w:sz="0" w:space="0" w:color="auto"/>
        <w:right w:val="none" w:sz="0" w:space="0" w:color="auto"/>
      </w:divBdr>
    </w:div>
    <w:div w:id="455873988">
      <w:bodyDiv w:val="1"/>
      <w:marLeft w:val="0"/>
      <w:marRight w:val="0"/>
      <w:marTop w:val="0"/>
      <w:marBottom w:val="0"/>
      <w:divBdr>
        <w:top w:val="none" w:sz="0" w:space="0" w:color="auto"/>
        <w:left w:val="none" w:sz="0" w:space="0" w:color="auto"/>
        <w:bottom w:val="none" w:sz="0" w:space="0" w:color="auto"/>
        <w:right w:val="none" w:sz="0" w:space="0" w:color="auto"/>
      </w:divBdr>
    </w:div>
    <w:div w:id="475685164">
      <w:bodyDiv w:val="1"/>
      <w:marLeft w:val="0"/>
      <w:marRight w:val="0"/>
      <w:marTop w:val="0"/>
      <w:marBottom w:val="0"/>
      <w:divBdr>
        <w:top w:val="none" w:sz="0" w:space="0" w:color="auto"/>
        <w:left w:val="none" w:sz="0" w:space="0" w:color="auto"/>
        <w:bottom w:val="none" w:sz="0" w:space="0" w:color="auto"/>
        <w:right w:val="none" w:sz="0" w:space="0" w:color="auto"/>
      </w:divBdr>
    </w:div>
    <w:div w:id="536550320">
      <w:bodyDiv w:val="1"/>
      <w:marLeft w:val="0"/>
      <w:marRight w:val="0"/>
      <w:marTop w:val="0"/>
      <w:marBottom w:val="0"/>
      <w:divBdr>
        <w:top w:val="none" w:sz="0" w:space="0" w:color="auto"/>
        <w:left w:val="none" w:sz="0" w:space="0" w:color="auto"/>
        <w:bottom w:val="none" w:sz="0" w:space="0" w:color="auto"/>
        <w:right w:val="none" w:sz="0" w:space="0" w:color="auto"/>
      </w:divBdr>
    </w:div>
    <w:div w:id="553664781">
      <w:bodyDiv w:val="1"/>
      <w:marLeft w:val="0"/>
      <w:marRight w:val="0"/>
      <w:marTop w:val="0"/>
      <w:marBottom w:val="0"/>
      <w:divBdr>
        <w:top w:val="none" w:sz="0" w:space="0" w:color="auto"/>
        <w:left w:val="none" w:sz="0" w:space="0" w:color="auto"/>
        <w:bottom w:val="none" w:sz="0" w:space="0" w:color="auto"/>
        <w:right w:val="none" w:sz="0" w:space="0" w:color="auto"/>
      </w:divBdr>
    </w:div>
    <w:div w:id="690378706">
      <w:bodyDiv w:val="1"/>
      <w:marLeft w:val="0"/>
      <w:marRight w:val="0"/>
      <w:marTop w:val="0"/>
      <w:marBottom w:val="0"/>
      <w:divBdr>
        <w:top w:val="none" w:sz="0" w:space="0" w:color="auto"/>
        <w:left w:val="none" w:sz="0" w:space="0" w:color="auto"/>
        <w:bottom w:val="none" w:sz="0" w:space="0" w:color="auto"/>
        <w:right w:val="none" w:sz="0" w:space="0" w:color="auto"/>
      </w:divBdr>
    </w:div>
    <w:div w:id="788669244">
      <w:bodyDiv w:val="1"/>
      <w:marLeft w:val="0"/>
      <w:marRight w:val="0"/>
      <w:marTop w:val="0"/>
      <w:marBottom w:val="0"/>
      <w:divBdr>
        <w:top w:val="none" w:sz="0" w:space="0" w:color="auto"/>
        <w:left w:val="none" w:sz="0" w:space="0" w:color="auto"/>
        <w:bottom w:val="none" w:sz="0" w:space="0" w:color="auto"/>
        <w:right w:val="none" w:sz="0" w:space="0" w:color="auto"/>
      </w:divBdr>
    </w:div>
    <w:div w:id="879316380">
      <w:bodyDiv w:val="1"/>
      <w:marLeft w:val="0"/>
      <w:marRight w:val="0"/>
      <w:marTop w:val="0"/>
      <w:marBottom w:val="0"/>
      <w:divBdr>
        <w:top w:val="none" w:sz="0" w:space="0" w:color="auto"/>
        <w:left w:val="none" w:sz="0" w:space="0" w:color="auto"/>
        <w:bottom w:val="none" w:sz="0" w:space="0" w:color="auto"/>
        <w:right w:val="none" w:sz="0" w:space="0" w:color="auto"/>
      </w:divBdr>
    </w:div>
    <w:div w:id="1054623900">
      <w:bodyDiv w:val="1"/>
      <w:marLeft w:val="0"/>
      <w:marRight w:val="0"/>
      <w:marTop w:val="0"/>
      <w:marBottom w:val="0"/>
      <w:divBdr>
        <w:top w:val="none" w:sz="0" w:space="0" w:color="auto"/>
        <w:left w:val="none" w:sz="0" w:space="0" w:color="auto"/>
        <w:bottom w:val="none" w:sz="0" w:space="0" w:color="auto"/>
        <w:right w:val="none" w:sz="0" w:space="0" w:color="auto"/>
      </w:divBdr>
    </w:div>
    <w:div w:id="1073117041">
      <w:bodyDiv w:val="1"/>
      <w:marLeft w:val="0"/>
      <w:marRight w:val="0"/>
      <w:marTop w:val="0"/>
      <w:marBottom w:val="0"/>
      <w:divBdr>
        <w:top w:val="none" w:sz="0" w:space="0" w:color="auto"/>
        <w:left w:val="none" w:sz="0" w:space="0" w:color="auto"/>
        <w:bottom w:val="none" w:sz="0" w:space="0" w:color="auto"/>
        <w:right w:val="none" w:sz="0" w:space="0" w:color="auto"/>
      </w:divBdr>
    </w:div>
    <w:div w:id="1086456940">
      <w:bodyDiv w:val="1"/>
      <w:marLeft w:val="0"/>
      <w:marRight w:val="0"/>
      <w:marTop w:val="0"/>
      <w:marBottom w:val="0"/>
      <w:divBdr>
        <w:top w:val="none" w:sz="0" w:space="0" w:color="auto"/>
        <w:left w:val="none" w:sz="0" w:space="0" w:color="auto"/>
        <w:bottom w:val="none" w:sz="0" w:space="0" w:color="auto"/>
        <w:right w:val="none" w:sz="0" w:space="0" w:color="auto"/>
      </w:divBdr>
    </w:div>
    <w:div w:id="1139761858">
      <w:bodyDiv w:val="1"/>
      <w:marLeft w:val="0"/>
      <w:marRight w:val="0"/>
      <w:marTop w:val="0"/>
      <w:marBottom w:val="0"/>
      <w:divBdr>
        <w:top w:val="none" w:sz="0" w:space="0" w:color="auto"/>
        <w:left w:val="none" w:sz="0" w:space="0" w:color="auto"/>
        <w:bottom w:val="none" w:sz="0" w:space="0" w:color="auto"/>
        <w:right w:val="none" w:sz="0" w:space="0" w:color="auto"/>
      </w:divBdr>
    </w:div>
    <w:div w:id="1177382013">
      <w:bodyDiv w:val="1"/>
      <w:marLeft w:val="0"/>
      <w:marRight w:val="0"/>
      <w:marTop w:val="0"/>
      <w:marBottom w:val="0"/>
      <w:divBdr>
        <w:top w:val="none" w:sz="0" w:space="0" w:color="auto"/>
        <w:left w:val="none" w:sz="0" w:space="0" w:color="auto"/>
        <w:bottom w:val="none" w:sz="0" w:space="0" w:color="auto"/>
        <w:right w:val="none" w:sz="0" w:space="0" w:color="auto"/>
      </w:divBdr>
    </w:div>
    <w:div w:id="1385174745">
      <w:bodyDiv w:val="1"/>
      <w:marLeft w:val="0"/>
      <w:marRight w:val="0"/>
      <w:marTop w:val="0"/>
      <w:marBottom w:val="0"/>
      <w:divBdr>
        <w:top w:val="none" w:sz="0" w:space="0" w:color="auto"/>
        <w:left w:val="none" w:sz="0" w:space="0" w:color="auto"/>
        <w:bottom w:val="none" w:sz="0" w:space="0" w:color="auto"/>
        <w:right w:val="none" w:sz="0" w:space="0" w:color="auto"/>
      </w:divBdr>
    </w:div>
    <w:div w:id="1526207197">
      <w:bodyDiv w:val="1"/>
      <w:marLeft w:val="0"/>
      <w:marRight w:val="0"/>
      <w:marTop w:val="0"/>
      <w:marBottom w:val="0"/>
      <w:divBdr>
        <w:top w:val="none" w:sz="0" w:space="0" w:color="auto"/>
        <w:left w:val="none" w:sz="0" w:space="0" w:color="auto"/>
        <w:bottom w:val="none" w:sz="0" w:space="0" w:color="auto"/>
        <w:right w:val="none" w:sz="0" w:space="0" w:color="auto"/>
      </w:divBdr>
    </w:div>
    <w:div w:id="1764253708">
      <w:bodyDiv w:val="1"/>
      <w:marLeft w:val="0"/>
      <w:marRight w:val="0"/>
      <w:marTop w:val="0"/>
      <w:marBottom w:val="0"/>
      <w:divBdr>
        <w:top w:val="none" w:sz="0" w:space="0" w:color="auto"/>
        <w:left w:val="none" w:sz="0" w:space="0" w:color="auto"/>
        <w:bottom w:val="none" w:sz="0" w:space="0" w:color="auto"/>
        <w:right w:val="none" w:sz="0" w:space="0" w:color="auto"/>
      </w:divBdr>
    </w:div>
    <w:div w:id="1795440590">
      <w:bodyDiv w:val="1"/>
      <w:marLeft w:val="0"/>
      <w:marRight w:val="0"/>
      <w:marTop w:val="0"/>
      <w:marBottom w:val="0"/>
      <w:divBdr>
        <w:top w:val="none" w:sz="0" w:space="0" w:color="auto"/>
        <w:left w:val="none" w:sz="0" w:space="0" w:color="auto"/>
        <w:bottom w:val="none" w:sz="0" w:space="0" w:color="auto"/>
        <w:right w:val="none" w:sz="0" w:space="0" w:color="auto"/>
      </w:divBdr>
    </w:div>
    <w:div w:id="1834490104">
      <w:bodyDiv w:val="1"/>
      <w:marLeft w:val="0"/>
      <w:marRight w:val="0"/>
      <w:marTop w:val="0"/>
      <w:marBottom w:val="0"/>
      <w:divBdr>
        <w:top w:val="none" w:sz="0" w:space="0" w:color="auto"/>
        <w:left w:val="none" w:sz="0" w:space="0" w:color="auto"/>
        <w:bottom w:val="none" w:sz="0" w:space="0" w:color="auto"/>
        <w:right w:val="none" w:sz="0" w:space="0" w:color="auto"/>
      </w:divBdr>
    </w:div>
    <w:div w:id="1841043190">
      <w:bodyDiv w:val="1"/>
      <w:marLeft w:val="0"/>
      <w:marRight w:val="0"/>
      <w:marTop w:val="0"/>
      <w:marBottom w:val="0"/>
      <w:divBdr>
        <w:top w:val="none" w:sz="0" w:space="0" w:color="auto"/>
        <w:left w:val="none" w:sz="0" w:space="0" w:color="auto"/>
        <w:bottom w:val="none" w:sz="0" w:space="0" w:color="auto"/>
        <w:right w:val="none" w:sz="0" w:space="0" w:color="auto"/>
      </w:divBdr>
    </w:div>
    <w:div w:id="1972634411">
      <w:bodyDiv w:val="1"/>
      <w:marLeft w:val="0"/>
      <w:marRight w:val="0"/>
      <w:marTop w:val="0"/>
      <w:marBottom w:val="0"/>
      <w:divBdr>
        <w:top w:val="none" w:sz="0" w:space="0" w:color="auto"/>
        <w:left w:val="none" w:sz="0" w:space="0" w:color="auto"/>
        <w:bottom w:val="none" w:sz="0" w:space="0" w:color="auto"/>
        <w:right w:val="none" w:sz="0" w:space="0" w:color="auto"/>
      </w:divBdr>
    </w:div>
    <w:div w:id="21422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1229</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Medina Resende de Oliveira</dc:creator>
  <cp:keywords/>
  <dc:description/>
  <cp:lastModifiedBy>Eduardo Medina Resende de Oliveira</cp:lastModifiedBy>
  <cp:revision>94</cp:revision>
  <dcterms:created xsi:type="dcterms:W3CDTF">2025-08-04T20:49:00Z</dcterms:created>
  <dcterms:modified xsi:type="dcterms:W3CDTF">2025-08-11T19:41:00Z</dcterms:modified>
</cp:coreProperties>
</file>