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HelveticaNeue-bold.ttf" ContentType="application/x-font-ttf"/>
  <Override PartName="/word/fonts/HelveticaNeue-boldItalic.ttf" ContentType="application/x-font-ttf"/>
  <Override PartName="/word/fonts/HelveticaNeue-italic.ttf" ContentType="application/x-font-ttf"/>
  <Override PartName="/word/fonts/HelveticaNeue-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Pr>
          <w:rFonts w:ascii="Aptos" w:cs="Aptos" w:eastAsia="Aptos" w:hAnsi="Aptos"/>
          <w:b w:val="0"/>
          <w:bCs w:val="0"/>
          <w:i w:val="0"/>
          <w:iCs w:val="0"/>
          <w:smallCaps w:val="0"/>
          <w:strike w:val="0"/>
          <w:color w:val="000000"/>
          <w:sz w:val="24"/>
          <w:szCs w:val="24"/>
          <w:u w:val="none"/>
          <w:shd w:fill="auto" w:val="clear"/>
          <w:vertAlign w:val="baseline"/>
        </w:rPr>
        <w:drawing>
          <wp:inline distB="0" distT="0" distL="0" distR="0">
            <wp:extent cx="5440680" cy="5247118"/>
            <wp:effectExtent b="0" l="0" r="0" t="0"/>
            <wp:docPr descr="OpenAI_Photography_2026_04" id="1" name="image1.png"/>
            <a:graphic>
              <a:graphicData uri="http://schemas.openxmlformats.org/drawingml/2006/picture">
                <pic:pic>
                  <pic:nvPicPr>
                    <pic:cNvPr descr="OpenAI_Photography_2026_04" id="0" name="image1.png"/>
                    <pic:cNvPicPr preferRelativeResize="0"/>
                  </pic:nvPicPr>
                  <pic:blipFill>
                    <a:blip r:embed="rId7"/>
                    <a:srcRect b="1779" l="0" r="0" t="1779"/>
                    <a:stretch>
                      <a:fillRect/>
                    </a:stretch>
                  </pic:blipFill>
                  <pic:spPr>
                    <a:xfrm>
                      <a:off x="0" y="0"/>
                      <a:ext cx="5440680" cy="5247118"/>
                    </a:xfrm>
                    <a:prstGeom prst="rect"/>
                    <a:ln/>
                  </pic:spPr>
                </pic:pic>
              </a:graphicData>
            </a:graphic>
          </wp:inline>
        </w:drawing>
      </w:r>
      <w:r>
        <w:rPr>
          <w:rtl w:val="0"/>
        </w:rPr>
      </w:r>
    </w:p>
    <w:p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Pr>
          <w:rtl w:val="0"/>
        </w:rPr>
      </w:r>
    </w:p>
    <w:p w14:paraId="00000003">
      <w:pPr>
        <w:pStyle w:val="Title"/>
        <w:keepNext w:val="1"/>
        <w:spacing w:after="100" w:line="278.00000000000006" w:lineRule="auto"/>
        <w:rPr/>
      </w:pPr>
      <w:bookmarkStart w:colFirst="0" w:colLast="0" w:name="_heading=h.t76axsj6ui55" w:id="0"/>
      <w:bookmarkEnd w:id="0"/>
      <w:r>
        <w:rPr>
          <w:rFonts w:ascii="Helvetica Neue" w:hAnsi="Helvetica Neue"/>
          <w:b w:val="0"/>
          <w:sz w:val="92"/>
        </w:rPr>
        <w:t>RDM Hack Host Guide</w:t>
      </w:r>
    </w:p>
    <w:tbl>
      <w:tblPr>
        <w:tblStyle w:val="Table1"/>
        <w:tblW w:w="9360.0" w:type="dxa"/>
        <w:jc w:val="left"/>
        <w:tblLayout w:type="fixed"/>
        <w:tblLook w:val="0600"/>
      </w:tblPr>
      <w:tblGrid>
        <w:gridCol w:w="4305"/>
        <w:gridCol w:w="901.6666666666654"/>
        <w:gridCol w:w="4153.333333333335"/>
        <w:tblGridChange w:id="0">
          <w:tblGrid>
            <w:gridCol w:w="4305"/>
            <w:gridCol w:w="901.6666666666654"/>
            <w:gridCol w:w="4153.333333333335"/>
          </w:tblGrid>
        </w:tblGridChange>
      </w:tblGrid>
      <w:tr>
        <w:trPr>
          <w:cantSplit w:val="1"/>
          <w:tblHeader w:val="0"/>
        </w:trPr>
        <w:tc>
          <w:tcPr>
            <w:tcMar>
              <w:top w:w="0.0" w:type="dxa"/>
              <w:left w:w="0.0" w:type="dxa"/>
              <w:bottom w:w="0.0" w:type="dxa"/>
              <w:right w:w="0.0" w:type="dxa"/>
            </w:tcMar>
          </w:tcPr>
          <w:p w14:paraId="00000004">
            <w:pPr>
              <w:spacing w:after="0" w:line="240" w:lineRule="auto"/>
              <w:rPr>
                <w:color w:val="666666"/>
              </w:rPr>
            </w:pPr>
            <w:r>
              <w:rPr>
                <w:rFonts w:ascii="Helvetica Neue" w:hAnsi="Helvetica Neue"/>
              </w:rPr>
              <w:t>Rooms, submissions, awards, certificates, and badges</w:t>
            </w:r>
          </w:p>
        </w:tc>
        <w:tc>
          <w:tcPr>
            <w:tcMar>
              <w:top w:w="0.0" w:type="dxa"/>
              <w:left w:w="0.0" w:type="dxa"/>
              <w:bottom w:w="0.0" w:type="dxa"/>
              <w:right w:w="0.0" w:type="dxa"/>
            </w:tcMar>
          </w:tcPr>
          <w:p w14:paraId="00000005">
            <w:pPr>
              <w:spacing w:after="0" w:line="240" w:lineRule="auto"/>
              <w:rPr>
                <w:color w:val="666666"/>
              </w:rPr>
            </w:pPr>
            <w:r>
              <w:rPr>
                <w:rtl w:val="0"/>
              </w:rPr>
            </w:r>
          </w:p>
        </w:tc>
        <w:tc>
          <w:tcPr>
            <w:tcMar>
              <w:top w:w="0.0" w:type="dxa"/>
              <w:left w:w="0.0" w:type="dxa"/>
              <w:bottom w:w="0.0" w:type="dxa"/>
              <w:right w:w="0.0" w:type="dxa"/>
            </w:tcMar>
          </w:tcPr>
          <w:p w14:paraId="00000006">
            <w:pPr>
              <w:spacing w:after="0" w:line="240" w:lineRule="auto"/>
              <w:rPr>
                <w:color w:val="666666"/>
              </w:rPr>
            </w:pPr>
            <w:r>
              <w:rPr>
                <w:rFonts w:ascii="Helvetica Neue" w:hAnsi="Helvetica Neue"/>
              </w:rPr>
              <w:t>Prepared by RDM Hack Team | July 2026</w:t>
            </w:r>
          </w:p>
        </w:tc>
      </w:tr>
    </w:tbl>
    <w:p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0" w:line="278.00000000000006" w:lineRule="auto"/>
        <w:ind w:left="0" w:right="0" w:firstLine="0"/>
        <w:jc w:val="left"/>
        <w:rPr>
          <w:rFonts w:ascii="Helvetica Neue" w:cs="Helvetica Neue" w:eastAsia="Helvetica Neue" w:hAnsi="Helvetica Neue"/>
          <w:b w:val="0"/>
          <w:bCs w:val="0"/>
          <w:i w:val="0"/>
          <w:iCs w:val="0"/>
          <w:smallCaps w:val="0"/>
          <w:strike w:val="0"/>
          <w:color w:val="7a7a7a"/>
          <w:sz w:val="18"/>
          <w:szCs w:val="18"/>
          <w:u w:val="none"/>
          <w:shd w:fill="auto" w:val="clear"/>
          <w:vertAlign w:val="baseline"/>
        </w:rPr>
        <w:sectPr>
          <w:footerReference r:id="rId8" w:type="default"/>
          <w:pgSz w:h="15840" w:w="12240" w:orient="portrait"/>
          <w:pgMar w:bottom="1440" w:top="1440" w:left="1440" w:right="1440" w:header="720" w:footer="720"/>
          <w:pgNumType w:start="1"/>
        </w:sectPr>
      </w:pPr>
      <w:r>
        <w:rPr>
          <w:rtl w:val="0"/>
        </w:rPr>
      </w:r>
    </w:p>
    <w:p w14:paraId="00000009">
      <w:pPr>
        <w:keepNext w:val="1"/>
        <w:keepLines w:val="0"/>
        <w:pageBreakBefore w:val="0"/>
        <w:widowControl w:val="1"/>
        <w:pBdr>
          <w:top w:space="0" w:sz="0" w:val="nil"/>
          <w:left w:space="0" w:sz="0" w:val="nil"/>
          <w:bottom w:space="0" w:sz="0" w:val="nil"/>
          <w:right w:space="0" w:sz="0" w:val="nil"/>
          <w:between w:space="0" w:sz="0" w:val="nil"/>
        </w:pBdr>
        <w:shd w:fill="auto" w:val="clear"/>
        <w:spacing w:after="360" w:before="360" w:line="278.00000000000006" w:lineRule="auto"/>
        <w:ind w:left="0" w:right="0" w:firstLine="0"/>
        <w:jc w:val="left"/>
        <w:rPr>
          <w:rFonts w:ascii="Helvetica Neue" w:cs="Helvetica Neue" w:eastAsia="Helvetica Neue" w:hAnsi="Helvetica Neue"/>
          <w:b w:val="0"/>
          <w:bCs w:val="0"/>
          <w:i w:val="0"/>
          <w:iCs w:val="0"/>
          <w:smallCaps w:val="0"/>
          <w:strike w:val="0"/>
          <w:color w:val="000000"/>
          <w:sz w:val="48"/>
          <w:szCs w:val="48"/>
          <w:u w:val="none"/>
          <w:shd w:fill="auto" w:val="clear"/>
          <w:vertAlign w:val="baseline"/>
        </w:rPr>
      </w:pPr>
      <w:r>
        <w:rPr>
          <w:rFonts w:ascii="Helvetica Neue" w:cs="Helvetica Neue" w:eastAsia="Helvetica Neue" w:hAnsi="Helvetica Neue"/>
          <w:b w:val="0"/>
          <w:bCs w:val="0"/>
          <w:i w:val="0"/>
          <w:iCs w:val="0"/>
          <w:smallCaps w:val="0"/>
          <w:strike w:val="0"/>
          <w:color w:val="000000"/>
          <w:sz w:val="48"/>
          <w:szCs w:val="48"/>
          <w:u w:val="none"/>
          <w:shd w:fill="auto" w:val="clear"/>
          <w:vertAlign w:val="baseline"/>
          <w:rtl w:val="0"/>
        </w:rPr>
        <w:t xml:space="preserve">Contents</w:t>
      </w:r>
    </w:p>
    <w:p w14:paraId="0000000A">
      <w:pPr>
        <w:keepNext w:val="1"/>
        <w:keepLines w:val="0"/>
        <w:pageBreakBefore w:val="0"/>
        <w:widowControl w:val="1"/>
        <w:pBdr>
          <w:top w:space="0" w:sz="0" w:val="nil"/>
          <w:left w:space="0" w:sz="0" w:val="nil"/>
          <w:bottom w:space="0" w:sz="0" w:val="nil"/>
          <w:right w:space="0" w:sz="0" w:val="nil"/>
          <w:between w:space="0" w:sz="0" w:val="nil"/>
        </w:pBdr>
        <w:shd w:fill="auto" w:val="clear"/>
        <w:spacing w:after="360" w:before="360" w:line="278.00000000000006" w:lineRule="auto"/>
        <w:ind w:left="0" w:right="0" w:firstLine="0"/>
        <w:jc w:val="left"/>
        <w:rPr>
          <w:sz w:val="48"/>
          <w:szCs w:val="48"/>
        </w:rPr>
      </w:pPr>
      <w:r>
        <w:rPr>
          <w:rtl w:val="0"/>
        </w:rPr>
      </w:r>
    </w:p>
    <w:sdt>
      <w:sdtPr>
        <w:id w:val="-2107746825"/>
        <w:docPartObj>
          <w:docPartGallery w:val="Table of Contents"/>
          <w:docPartUnique w:val="1"/>
        </w:docPartObj>
      </w:sdtPr>
      <w:sdtContent>
        <w:p w14:paraId="0000000B">
          <w:pPr>
            <w:widowControl w:val="0"/>
            <w:tabs>
              <w:tab w:val="right" w:leader="dot" w:pos="12000"/>
            </w:tabs>
            <w:spacing w:after="0" w:before="60" w:line="240" w:lineRule="auto"/>
            <w:rPr>
              <w:b w:val="1"/>
              <w:bCs w:val="1"/>
              <w:color w:val="000000"/>
              <w:u w:val="none"/>
            </w:rPr>
          </w:pPr>
          <w:r>
            <w:fldChar w:fldCharType="begin"/>
            <w:instrText xml:space="preserve"> TOC \h \u \z \t "Heading 1,1,Heading 2,2,Heading 3,3,Heading 4,4,Heading 5,5,Heading 6,6,"</w:instrText>
            <w:fldChar w:fldCharType="separate"/>
          </w:r>
          <w:hyperlink w:anchor="_heading=">
            <w:r>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Executive summary</w:t>
              <w:tab/>
              <w:t xml:space="preserve">2</w:t>
            </w:r>
          </w:hyperlink>
          <w:r>
            <w:rPr>
              <w:rtl w:val="0"/>
            </w:rPr>
          </w:r>
        </w:p>
        <w:p w14:paraId="0000000C">
          <w:pPr>
            <w:widowControl w:val="0"/>
            <w:tabs>
              <w:tab w:val="right" w:leader="dot" w:pos="12000"/>
            </w:tabs>
            <w:spacing w:after="0" w:before="60" w:line="240" w:lineRule="auto"/>
            <w:ind w:left="360" w:firstLine="0"/>
            <w:rPr>
              <w:color w:val="000000"/>
              <w:u w:val="none"/>
            </w:rPr>
          </w:pPr>
          <w:hyperlink w:anchor="_heading=">
            <w:r>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At a glance</w:t>
              <w:tab/>
              <w:t xml:space="preserve">2</w:t>
            </w:r>
          </w:hyperlink>
          <w:r>
            <w:rPr>
              <w:rtl w:val="0"/>
            </w:rPr>
          </w:r>
        </w:p>
        <w:p w14:paraId="0000000D">
          <w:pPr>
            <w:widowControl w:val="0"/>
            <w:tabs>
              <w:tab w:val="right" w:leader="dot" w:pos="12000"/>
            </w:tabs>
            <w:spacing w:after="0" w:before="60" w:line="240" w:lineRule="auto"/>
            <w:ind w:left="360" w:firstLine="0"/>
            <w:rPr>
              <w:color w:val="000000"/>
              <w:u w:val="none"/>
            </w:rPr>
          </w:pPr>
          <w:hyperlink w:anchor="_heading=">
            <w:r>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Introduction</w:t>
              <w:tab/>
              <w:t xml:space="preserve">2</w:t>
            </w:r>
          </w:hyperlink>
          <w:r>
            <w:rPr>
              <w:rtl w:val="0"/>
            </w:rPr>
          </w:r>
        </w:p>
        <w:p w14:paraId="0000000E">
          <w:pPr>
            <w:widowControl w:val="0"/>
            <w:tabs>
              <w:tab w:val="right" w:leader="dot" w:pos="12000"/>
            </w:tabs>
            <w:spacing w:after="0" w:before="60" w:line="240" w:lineRule="auto"/>
            <w:rPr>
              <w:b w:val="1"/>
              <w:bCs w:val="1"/>
              <w:color w:val="000000"/>
              <w:u w:val="none"/>
            </w:rPr>
          </w:pPr>
          <w:hyperlink w:anchor="_heading=">
            <w:r>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Key findings</w:t>
              <w:tab/>
              <w:t xml:space="preserve">3</w:t>
            </w:r>
          </w:hyperlink>
          <w:r>
            <w:rPr>
              <w:rtl w:val="0"/>
            </w:rPr>
          </w:r>
        </w:p>
        <w:p w14:paraId="0000000F">
          <w:pPr>
            <w:widowControl w:val="0"/>
            <w:tabs>
              <w:tab w:val="right" w:leader="dot" w:pos="12000"/>
            </w:tabs>
            <w:spacing w:after="0" w:before="60" w:line="240" w:lineRule="auto"/>
            <w:ind w:left="360" w:firstLine="0"/>
            <w:rPr>
              <w:color w:val="000000"/>
              <w:u w:val="none"/>
            </w:rPr>
          </w:pPr>
          <w:hyperlink w:anchor="_heading=">
            <w:r>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Context and conditions</w:t>
              <w:tab/>
              <w:t xml:space="preserve">3</w:t>
            </w:r>
          </w:hyperlink>
          <w:r>
            <w:rPr>
              <w:rtl w:val="0"/>
            </w:rPr>
          </w:r>
        </w:p>
        <w:p w14:paraId="00000010">
          <w:pPr>
            <w:widowControl w:val="0"/>
            <w:tabs>
              <w:tab w:val="right" w:leader="dot" w:pos="12000"/>
            </w:tabs>
            <w:spacing w:after="0" w:before="60" w:line="240" w:lineRule="auto"/>
            <w:ind w:left="360" w:firstLine="0"/>
            <w:rPr>
              <w:color w:val="000000"/>
              <w:u w:val="none"/>
            </w:rPr>
          </w:pPr>
          <w:hyperlink w:anchor="_heading=">
            <w:r>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Patterns in the evidence</w:t>
              <w:tab/>
              <w:t xml:space="preserve">3</w:t>
            </w:r>
          </w:hyperlink>
          <w:r>
            <w:rPr>
              <w:rtl w:val="0"/>
            </w:rPr>
          </w:r>
        </w:p>
        <w:p w14:paraId="00000011">
          <w:pPr>
            <w:widowControl w:val="0"/>
            <w:tabs>
              <w:tab w:val="right" w:leader="dot" w:pos="12000"/>
            </w:tabs>
            <w:spacing w:after="0" w:before="60" w:line="240" w:lineRule="auto"/>
            <w:ind w:left="360" w:firstLine="0"/>
            <w:rPr>
              <w:color w:val="000000"/>
              <w:u w:val="none"/>
            </w:rPr>
          </w:pPr>
          <w:hyperlink w:anchor="_heading=">
            <w:r>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Implications</w:t>
              <w:tab/>
              <w:t xml:space="preserve">3</w:t>
            </w:r>
          </w:hyperlink>
          <w:r>
            <w:rPr>
              <w:rtl w:val="0"/>
            </w:rPr>
          </w:r>
        </w:p>
        <w:p w14:paraId="00000012">
          <w:pPr>
            <w:widowControl w:val="0"/>
            <w:tabs>
              <w:tab w:val="right" w:leader="dot" w:pos="12000"/>
            </w:tabs>
            <w:spacing w:after="0" w:before="60" w:line="240" w:lineRule="auto"/>
            <w:rPr>
              <w:b w:val="1"/>
              <w:bCs w:val="1"/>
              <w:color w:val="000000"/>
              <w:u w:val="none"/>
            </w:rPr>
          </w:pPr>
          <w:hyperlink w:anchor="_heading=">
            <w:r>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Recommendations</w:t>
              <w:tab/>
              <w:t xml:space="preserve">4</w:t>
            </w:r>
          </w:hyperlink>
          <w:r>
            <w:rPr>
              <w:rtl w:val="0"/>
            </w:rPr>
          </w:r>
        </w:p>
        <w:p w14:paraId="00000013">
          <w:pPr>
            <w:widowControl w:val="0"/>
            <w:tabs>
              <w:tab w:val="right" w:leader="dot" w:pos="12000"/>
            </w:tabs>
            <w:spacing w:after="0" w:before="60" w:line="240" w:lineRule="auto"/>
            <w:ind w:left="360" w:firstLine="0"/>
            <w:rPr>
              <w:color w:val="000000"/>
              <w:u w:val="none"/>
            </w:rPr>
          </w:pPr>
          <w:hyperlink w:anchor="_heading=">
            <w:r>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Conclusion</w:t>
              <w:tab/>
              <w:t xml:space="preserve">4</w:t>
            </w:r>
          </w:hyperlink>
          <w:r>
            <w:rPr>
              <w:rtl w:val="0"/>
            </w:rPr>
          </w:r>
        </w:p>
        <w:p w14:paraId="00000014">
          <w:pPr>
            <w:widowControl w:val="0"/>
            <w:tabs>
              <w:tab w:val="right" w:leader="dot" w:pos="12000"/>
            </w:tabs>
            <w:spacing w:after="0" w:before="60" w:line="240" w:lineRule="auto"/>
            <w:rPr>
              <w:b w:val="1"/>
              <w:bCs w:val="1"/>
              <w:color w:val="000000"/>
              <w:u w:val="none"/>
            </w:rPr>
          </w:pPr>
          <w:hyperlink w:anchor="_heading=">
            <w:r>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Appendix</w:t>
              <w:tab/>
              <w:t xml:space="preserve">5</w:t>
            </w:r>
          </w:hyperlink>
          <w:r>
            <w:rPr>
              <w:rtl w:val="0"/>
            </w:rPr>
          </w:r>
        </w:p>
        <w:p w14:paraId="00000015">
          <w:pPr>
            <w:widowControl w:val="0"/>
            <w:tabs>
              <w:tab w:val="right" w:leader="dot" w:pos="12000"/>
            </w:tabs>
            <w:spacing w:after="0" w:before="60" w:line="240" w:lineRule="auto"/>
            <w:ind w:left="360" w:firstLine="0"/>
            <w:rPr>
              <w:color w:val="000000"/>
              <w:u w:val="none"/>
            </w:rPr>
          </w:pPr>
          <w:hyperlink w:anchor="_heading=">
            <w:r>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Notes</w:t>
              <w:tab/>
              <w:t xml:space="preserve">5</w:t>
            </w:r>
          </w:hyperlink>
          <w:r>
            <w:rPr>
              <w:rtl w:val="0"/>
            </w:rPr>
          </w:r>
        </w:p>
        <w:p w14:paraId="00000016">
          <w:pPr>
            <w:widowControl w:val="0"/>
            <w:tabs>
              <w:tab w:val="right" w:leader="dot" w:pos="12000"/>
            </w:tabs>
            <w:spacing w:after="0" w:before="60" w:line="240" w:lineRule="auto"/>
            <w:ind w:left="360" w:firstLine="0"/>
            <w:rPr>
              <w:color w:val="000000"/>
              <w:u w:val="none"/>
            </w:rPr>
          </w:pPr>
          <w:hyperlink w:anchor="_heading=">
            <w:r>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Badge ideas and host checklist</w:t>
              <w:tab/>
              <w:t xml:space="preserve">5</w:t>
            </w:r>
          </w:hyperlink>
          <w:r>
            <w:rPr>
              <w:rtl w:val="0"/>
            </w:rPr>
          </w:r>
          <w:r>
            <w:fldChar w:fldCharType="end"/>
          </w:r>
        </w:p>
      </w:sdtContent>
    </w:sdt>
    <w:bookmarkStart w:colFirst="0" w:colLast="0" w:name="bookmark=id.i23wo83gyh7m" w:id="1"/>
    <w:bookmarkEnd w:id="1"/>
    <w:p w14:paraId="00000017">
      <w:pPr>
        <w:pStyle w:val="Heading1"/>
        <w:pageBreakBefore w:val="1"/>
        <w:rPr/>
      </w:pPr>
      <w:r>
        <w:rPr>
          <w:rtl w:val="0"/>
        </w:rPr>
        <w:t xml:space="preserve">Executive summary</w:t>
      </w:r>
    </w:p>
    <w:p w14:paraId="00000018">
      <w:pPr>
        <w:rPr/>
      </w:pPr>
      <w:r>
        <w:rPr>
          <w:rFonts w:ascii="Helvetica Neue" w:hAnsi="Helvetica Neue"/>
          <w:b w:val="0"/>
          <w:i w:val="0"/>
        </w:rPr>
        <w:t>RDM Hack works best when hosts run the event from one clean source of truth: rooms, assignments, final submissions, reviews, winners, certificates, and badges should all be handled inside the app.</w:t>
      </w:r>
    </w:p>
    <w:p w14:paraId="00000019">
      <w:pPr>
        <w:rPr/>
      </w:pPr>
      <w:r>
        <w:rPr>
          <w:rFonts w:ascii="Helvetica Neue" w:hAnsi="Helvetica Neue"/>
          <w:b w:val="0"/>
          <w:i w:val="0"/>
        </w:rPr>
        <w:t>For smooth operations, keep each hack room to about 40 participants. This keeps review manageable, reduces bulk processing pressure, and makes it easier to issue rewards and certificates without confusion.</w:t>
      </w:r>
    </w:p>
    <w:bookmarkStart w:colFirst="0" w:colLast="0" w:name="bookmark=id.1sqjewf8afxt" w:id="2"/>
    <w:bookmarkEnd w:id="2"/>
    <w:p w14:paraId="0000001A">
      <w:pPr>
        <w:pStyle w:val="Heading2"/>
        <w:rPr/>
      </w:pPr>
      <w:r>
        <w:rPr>
          <w:rtl w:val="0"/>
        </w:rPr>
        <w:t xml:space="preserve">At a glance</w:t>
      </w:r>
    </w:p>
    <w:p w14:paraId="0000001B">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540" w:right="0" w:hanging="270"/>
        <w:jc w:val="left"/>
        <w:rPr/>
      </w:pPr>
      <w:r>
        <w:rPr>
          <w:rFonts w:ascii="Helvetica Neue" w:hAnsi="Helvetica Neue"/>
          <w:b w:val="0"/>
          <w:i w:val="0"/>
        </w:rPr>
        <w:t>Create rooms in batches of around 40 participants and share each invite code only with the correct group.</w:t>
      </w:r>
    </w:p>
    <w:p w14:paraId="0000001C">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540" w:right="0" w:hanging="270"/>
        <w:jc w:val="left"/>
        <w:rPr/>
      </w:pPr>
      <w:r>
        <w:rPr>
          <w:rFonts w:ascii="Helvetica Neue" w:hAnsi="Helvetica Neue"/>
          <w:b w:val="0"/>
          <w:i w:val="0"/>
        </w:rPr>
        <w:t>Collect final submissions only through the app, then verify valid work before rewards, certificates, or winners are issued.</w:t>
      </w:r>
    </w:p>
    <w:p w14:paraId="0000001D">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540" w:right="0" w:hanging="270"/>
        <w:jc w:val="left"/>
        <w:rPr/>
      </w:pPr>
      <w:r>
        <w:rPr>
          <w:rFonts w:ascii="Helvetica Neue" w:hAnsi="Helvetica Neue"/>
          <w:b w:val="0"/>
          <w:i w:val="0"/>
        </w:rPr>
        <w:t>Issue participant certificates room-wise, announce winners only after final decisions, and use NFT badges selectively for memorable moments.</w:t>
      </w:r>
    </w:p>
    <w:bookmarkStart w:colFirst="0" w:colLast="0" w:name="bookmark=id.4t4jj91ycfx" w:id="3"/>
    <w:bookmarkEnd w:id="3"/>
    <w:p w14:paraId="0000001E">
      <w:pPr>
        <w:pStyle w:val="Heading2"/>
        <w:rPr/>
      </w:pPr>
      <w:r>
        <w:rPr>
          <w:rtl w:val="0"/>
        </w:rPr>
        <w:t xml:space="preserve">Introduction</w:t>
      </w:r>
    </w:p>
    <w:p w14:paraId="0000001F">
      <w:pPr>
        <w:rPr/>
      </w:pPr>
      <w:r>
        <w:rPr>
          <w:rFonts w:ascii="Helvetica Neue" w:hAnsi="Helvetica Neue"/>
          <w:b w:val="0"/>
          <w:i w:val="0"/>
        </w:rPr>
        <w:t>This guide is for hosts running hackathons, classroom challenges, workshops, or internal innovation events on RDM Hack. It gives a practical operating flow that keeps participant records clean and avoids overloaded reward actions.</w:t>
      </w:r>
    </w:p>
    <w:p w14:paraId="00000020">
      <w:pPr>
        <w:rPr/>
      </w:pPr>
      <w:r>
        <w:rPr>
          <w:rFonts w:ascii="Helvetica Neue" w:hAnsi="Helvetica Neue"/>
          <w:b w:val="0"/>
          <w:i w:val="0"/>
        </w:rPr>
        <w:t>Hosts should treat the app as the official record. WhatsApp, email, or form submissions can be used for communication, but the final submission and approval record should live in RDM Hack.</w:t>
      </w:r>
    </w:p>
    <w:bookmarkStart w:colFirst="0" w:colLast="0" w:name="bookmark=id.xx7bxdemqiq" w:id="4"/>
    <w:bookmarkEnd w:id="4"/>
    <w:p w14:paraId="00000021">
      <w:pPr>
        <w:pStyle w:val="Heading1"/>
        <w:pageBreakBefore w:val="1"/>
        <w:rPr/>
      </w:pPr>
      <w:r>
        <w:rPr>
          <w:rtl w:val="0"/>
        </w:rPr>
        <w:t xml:space="preserve">Key findings</w:t>
      </w:r>
    </w:p>
    <w:p w14:paraId="00000022">
      <w:pPr>
        <w:rPr/>
      </w:pPr>
      <w:r>
        <w:rPr>
          <w:rFonts w:ascii="Helvetica Neue" w:hAnsi="Helvetica Neue"/>
          <w:b w:val="0"/>
          <w:i w:val="0"/>
        </w:rPr>
        <w:t>The strongest host workflow is simple: create the right rooms, collect final submissions in the app, review carefully, approve once, announce winners, and then issue certificates or badges in controlled batches.</w:t>
      </w:r>
    </w:p>
    <w:p w14:paraId="00000023">
      <w:pPr>
        <w:pStyle w:val="Heading2"/>
        <w:rPr/>
      </w:pPr>
      <w:r>
        <w:rPr>
          <w:rtl w:val="0"/>
        </w:rPr>
        <w:t xml:space="preserve">Context and conditions</w:t>
      </w:r>
    </w:p>
    <w:p w14:paraId="00000024">
      <w:pPr>
        <w:rPr/>
      </w:pPr>
      <w:r>
        <w:rPr>
          <w:rFonts w:ascii="Helvetica Neue" w:hAnsi="Helvetica Neue"/>
          <w:b w:val="0"/>
          <w:i w:val="0"/>
        </w:rPr>
        <w:t>Recommended capacity is 40 participants per room. For 80 participants, create 2 rooms; for 120 participants, create 3 rooms; for 200 participants, create 5 rooms.</w:t>
      </w:r>
    </w:p>
    <w:p w14:paraId="00000025">
      <w:pPr>
        <w:pStyle w:val="Heading2"/>
        <w:rPr/>
      </w:pPr>
      <w:r>
        <w:rPr>
          <w:rtl w:val="0"/>
        </w:rPr>
        <w:t xml:space="preserve">Patterns in the evidence</w:t>
      </w:r>
    </w:p>
    <w:p w14:paraId="00000026">
      <w:pPr>
        <w:rPr/>
      </w:pPr>
      <w:r>
        <w:rPr>
          <w:rFonts w:ascii="Helvetica Neue" w:hAnsi="Helvetica Neue"/>
          <w:b w:val="0"/>
          <w:i w:val="0"/>
        </w:rPr>
        <w:t>Participants should join only their assigned room. If a participant joins the wrong room or appears twice, fix that before issuing certificates, badges, or rewards.</w:t>
      </w:r>
    </w:p>
    <w:p w14:paraId="00000027">
      <w:pPr>
        <w:rPr/>
      </w:pPr>
      <w:r>
        <w:rPr>
          <w:rtl w:val="0"/>
        </w:rPr>
      </w:r>
    </w:p>
    <w:p w14:paraId="00000028">
      <w:pPr>
        <w:keepNext w:val="0"/>
        <w:keepLines w:val="1"/>
        <w:pageBreakBefore w:val="0"/>
        <w:widowControl w:val="1"/>
        <w:pBdr>
          <w:top w:space="0" w:sz="0" w:val="nil"/>
          <w:left w:color="595959" w:space="8" w:sz="16" w:val="single"/>
          <w:bottom w:space="0" w:sz="0" w:val="nil"/>
          <w:right w:space="0" w:sz="0" w:val="nil"/>
          <w:between w:space="0" w:sz="0" w:val="nil"/>
        </w:pBdr>
        <w:shd w:fill="f2f2f2" w:val="clear"/>
        <w:spacing w:after="200" w:before="160" w:line="269" w:lineRule="auto"/>
        <w:ind w:left="259" w:right="259" w:firstLine="0"/>
        <w:jc w:val="left"/>
        <w:rPr/>
      </w:pPr>
      <w:r>
        <w:rPr>
          <w:rFonts w:ascii="Helvetica Neue" w:hAnsi="Helvetica Neue"/>
          <w:b w:val="0"/>
          <w:i w:val="0"/>
        </w:rPr>
        <w:t>Key takeaway. Keep rooms small, collect final submissions through the app, and avoid repeating reward actions while the app is processing.</w:t>
      </w:r>
    </w:p>
    <w:p w14:paraId="00000029">
      <w:pPr>
        <w:pStyle w:val="Heading2"/>
        <w:rPr/>
      </w:pPr>
      <w:r>
        <w:rPr>
          <w:rtl w:val="0"/>
        </w:rPr>
      </w:r>
    </w:p>
    <w:bookmarkStart w:colFirst="0" w:colLast="0" w:name="bookmark=id.suv0vlq0gz4r" w:id="5"/>
    <w:bookmarkEnd w:id="5"/>
    <w:p w14:paraId="0000002A">
      <w:pPr>
        <w:pStyle w:val="Heading2"/>
        <w:rPr/>
      </w:pPr>
      <w:r>
        <w:rPr>
          <w:rFonts w:ascii="Helvetica Neue" w:hAnsi="Helvetica Neue"/>
          <w:b w:val="0"/>
          <w:i w:val="0"/>
        </w:rPr>
        <w:t>Implications</w:t>
      </w:r>
    </w:p>
    <w:p w14:paraId="0000002B">
      <w:pPr>
        <w:rPr/>
      </w:pPr>
      <w:r>
        <w:rPr>
          <w:rFonts w:ascii="Helvetica Neue" w:hAnsi="Helvetica Neue"/>
          <w:b w:val="0"/>
          <w:i w:val="0"/>
        </w:rPr>
        <w:t>Large rooms, duplicate joins, repeated button clicks, or certificate runs for too many people at once can create review confusion and slow reward processing. Hosts should work room-wise and wait for completion states before moving to the next action.</w:t>
      </w:r>
    </w:p>
    <w:tbl>
      <w:tblPr>
        <w:tblStyle w:val="Table2"/>
        <w:tblW w:w="9120.0" w:type="dxa"/>
        <w:jc w:val="left"/>
        <w:tblInd w:w="120.0" w:type="dxa"/>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1800"/>
        <w:gridCol w:w="3300"/>
        <w:gridCol w:w="4020"/>
        <w:tblGridChange w:id="0">
          <w:tblGrid>
            <w:gridCol w:w="1800"/>
            <w:gridCol w:w="3300"/>
            <w:gridCol w:w="4020"/>
          </w:tblGrid>
        </w:tblGridChange>
      </w:tblGrid>
      <w:tr>
        <w:trPr>
          <w:cantSplit w:val="0"/>
          <w:tblHeader w:val="1"/>
        </w:trPr>
        <w:tc>
          <w:tcPr>
            <w:shd w:fill="f2f2f2" w:val="clear"/>
            <w:tcMar>
              <w:top w:w="110.0" w:type="dxa"/>
              <w:bottom w:w="110.0" w:type="dxa"/>
            </w:tcMar>
            <w:vAlign w:val="center"/>
          </w:tcPr>
          <w:p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hAnsi="Helvetica Neue"/>
                <w:b/>
                <w:i w:val="0"/>
              </w:rPr>
              <w:t>Host decision</w:t>
            </w:r>
          </w:p>
        </w:tc>
        <w:tc>
          <w:tcPr>
            <w:shd w:fill="f2f2f2" w:val="clear"/>
            <w:tcMar>
              <w:top w:w="110.0" w:type="dxa"/>
              <w:bottom w:w="110.0" w:type="dxa"/>
            </w:tcMar>
            <w:vAlign w:val="center"/>
          </w:tcPr>
          <w:p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hAnsi="Helvetica Neue"/>
                <w:b/>
                <w:i w:val="0"/>
              </w:rPr>
              <w:t>Recommended action</w:t>
            </w:r>
          </w:p>
        </w:tc>
        <w:tc>
          <w:tcPr>
            <w:shd w:fill="f2f2f2" w:val="clear"/>
            <w:tcMar>
              <w:top w:w="110.0" w:type="dxa"/>
              <w:bottom w:w="110.0" w:type="dxa"/>
            </w:tcMar>
            <w:vAlign w:val="center"/>
          </w:tcPr>
          <w:p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hAnsi="Helvetica Neue"/>
                <w:b/>
                <w:i w:val="0"/>
              </w:rPr>
              <w:t>Why it matters</w:t>
            </w:r>
          </w:p>
        </w:tc>
      </w:tr>
      <w:tr>
        <w:trPr>
          <w:cantSplit w:val="0"/>
          <w:tblHeader w:val="0"/>
        </w:trPr>
        <w:tc>
          <w:tcPr>
            <w:shd w:fill="ffffff" w:val="clear"/>
            <w:tcMar>
              <w:top w:w="110.0" w:type="dxa"/>
              <w:bottom w:w="110.0" w:type="dxa"/>
            </w:tcMar>
            <w:vAlign w:val="center"/>
          </w:tcPr>
          <w:p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hAnsi="Helvetica Neue"/>
                <w:b w:val="0"/>
                <w:i w:val="0"/>
              </w:rPr>
              <w:t>Room size</w:t>
            </w:r>
          </w:p>
        </w:tc>
        <w:tc>
          <w:tcPr>
            <w:shd w:fill="ffffff" w:val="clear"/>
            <w:tcMar>
              <w:top w:w="110.0" w:type="dxa"/>
              <w:bottom w:w="110.0" w:type="dxa"/>
            </w:tcMar>
            <w:vAlign w:val="center"/>
          </w:tcPr>
          <w:p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hAnsi="Helvetica Neue"/>
                <w:b w:val="0"/>
                <w:i w:val="0"/>
              </w:rPr>
              <w:t>Keep about 40 participants in one room.</w:t>
            </w:r>
          </w:p>
        </w:tc>
        <w:tc>
          <w:tcPr>
            <w:shd w:fill="ffffff" w:val="clear"/>
            <w:tcMar>
              <w:top w:w="110.0" w:type="dxa"/>
              <w:bottom w:w="110.0" w:type="dxa"/>
            </w:tcMar>
            <w:vAlign w:val="center"/>
          </w:tcPr>
          <w:p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hAnsi="Helvetica Neue"/>
                <w:b w:val="0"/>
                <w:i w:val="0"/>
              </w:rPr>
              <w:t>Keeps review fast and certificate issuing manageable.</w:t>
            </w:r>
          </w:p>
        </w:tc>
      </w:tr>
      <w:tr>
        <w:trPr>
          <w:cantSplit w:val="0"/>
          <w:tblHeader w:val="0"/>
        </w:trPr>
        <w:tc>
          <w:tcPr>
            <w:shd w:fill="ffffff" w:val="clear"/>
            <w:tcMar>
              <w:top w:w="110.0" w:type="dxa"/>
              <w:bottom w:w="110.0" w:type="dxa"/>
            </w:tcMar>
            <w:vAlign w:val="center"/>
          </w:tcPr>
          <w:p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hAnsi="Helvetica Neue"/>
                <w:b w:val="0"/>
                <w:i w:val="0"/>
              </w:rPr>
              <w:t>Final submissions</w:t>
            </w:r>
          </w:p>
        </w:tc>
        <w:tc>
          <w:tcPr>
            <w:shd w:fill="ffffff" w:val="clear"/>
            <w:tcMar>
              <w:top w:w="110.0" w:type="dxa"/>
              <w:bottom w:w="110.0" w:type="dxa"/>
            </w:tcMar>
            <w:vAlign w:val="center"/>
          </w:tcPr>
          <w:p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hAnsi="Helvetica Neue"/>
                <w:b w:val="0"/>
                <w:i w:val="0"/>
              </w:rPr>
              <w:t>Accept final work only through the app.</w:t>
            </w:r>
          </w:p>
        </w:tc>
        <w:tc>
          <w:tcPr>
            <w:shd w:fill="ffffff" w:val="clear"/>
            <w:tcMar>
              <w:top w:w="110.0" w:type="dxa"/>
              <w:bottom w:w="110.0" w:type="dxa"/>
            </w:tcMar>
            <w:vAlign w:val="center"/>
          </w:tcPr>
          <w:p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hAnsi="Helvetica Neue"/>
                <w:b w:val="0"/>
                <w:i w:val="0"/>
              </w:rPr>
              <w:t>Creates one trusted record for verification and rewards.</w:t>
            </w:r>
          </w:p>
        </w:tc>
      </w:tr>
      <w:tr>
        <w:trPr>
          <w:cantSplit w:val="0"/>
          <w:tblHeader w:val="0"/>
        </w:trPr>
        <w:tc>
          <w:tcPr>
            <w:shd w:fill="ffffff" w:val="clear"/>
            <w:tcMar>
              <w:top w:w="110.0" w:type="dxa"/>
              <w:bottom w:w="110.0" w:type="dxa"/>
            </w:tcMar>
            <w:vAlign w:val="center"/>
          </w:tcPr>
          <w:p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hAnsi="Helvetica Neue"/>
                <w:b w:val="0"/>
                <w:i w:val="0"/>
              </w:rPr>
              <w:t>Certificates and badges</w:t>
            </w:r>
          </w:p>
        </w:tc>
        <w:tc>
          <w:tcPr>
            <w:shd w:fill="ffffff" w:val="clear"/>
            <w:tcMar>
              <w:top w:w="110.0" w:type="dxa"/>
              <w:bottom w:w="110.0" w:type="dxa"/>
            </w:tcMar>
            <w:vAlign w:val="center"/>
          </w:tcPr>
          <w:p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hAnsi="Helvetica Neue"/>
                <w:b w:val="0"/>
                <w:i w:val="0"/>
              </w:rPr>
              <w:t>Issue room-wise and wait for completion.</w:t>
            </w:r>
          </w:p>
        </w:tc>
        <w:tc>
          <w:tcPr>
            <w:shd w:fill="ffffff" w:val="clear"/>
            <w:tcMar>
              <w:top w:w="110.0" w:type="dxa"/>
              <w:bottom w:w="110.0" w:type="dxa"/>
            </w:tcMar>
            <w:vAlign w:val="center"/>
          </w:tcPr>
          <w:p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hAnsi="Helvetica Neue"/>
                <w:b w:val="0"/>
                <w:i w:val="0"/>
              </w:rPr>
              <w:t>Avoids duplicate actions and unnecessary processing load.</w:t>
            </w:r>
          </w:p>
        </w:tc>
      </w:tr>
    </w:tbl>
    <w:bookmarkStart w:colFirst="0" w:colLast="0" w:name="bookmark=id.vvr4bduzzdc0" w:id="6"/>
    <w:bookmarkEnd w:id="6"/>
    <w:p w14:paraId="00000038">
      <w:pPr>
        <w:pStyle w:val="Heading1"/>
        <w:pageBreakBefore w:val="1"/>
        <w:rPr/>
      </w:pPr>
      <w:r>
        <w:rPr>
          <w:rtl w:val="0"/>
        </w:rPr>
        <w:t xml:space="preserve">Recommendations</w:t>
      </w:r>
    </w:p>
    <w:p w14:paraId="00000039">
      <w:pPr>
        <w:rPr/>
      </w:pPr>
      <w:r>
        <w:rPr>
          <w:rFonts w:ascii="Helvetica Neue" w:hAnsi="Helvetica Neue"/>
          <w:b w:val="0"/>
          <w:i w:val="0"/>
        </w:rPr>
        <w:t>Use the following operating rules during the event and final review stage. They are intentionally simple so every host can follow the same process.</w:t>
      </w:r>
    </w:p>
    <w:p w14:paraId="0000003A">
      <w:pPr>
        <w:keepNext w:val="0"/>
        <w:keepLines w:val="1"/>
        <w:pageBreakBefore w:val="0"/>
        <w:widowControl w:val="1"/>
        <w:numPr>
          <w:ilvl w:val="0"/>
          <w:numId w:val="2"/>
        </w:numPr>
        <w:pBdr>
          <w:top w:space="0" w:sz="0" w:val="nil"/>
          <w:left w:space="0" w:sz="0" w:val="nil"/>
          <w:bottom w:space="0" w:sz="0" w:val="nil"/>
          <w:right w:space="0" w:sz="0" w:val="nil"/>
          <w:between w:space="0" w:sz="0" w:val="nil"/>
        </w:pBdr>
        <w:shd w:fill="auto" w:val="clear"/>
        <w:spacing w:after="180" w:before="0" w:line="276" w:lineRule="auto"/>
        <w:ind w:left="540" w:right="0" w:hanging="270"/>
        <w:jc w:val="left"/>
        <w:rPr/>
      </w:pPr>
      <w:r>
        <w:rPr>
          <w:rFonts w:ascii="Helvetica Neue" w:hAnsi="Helvetica Neue"/>
          <w:b/>
        </w:rPr>
        <w:t xml:space="preserve">Create rooms with a 40-person limit. </w:t>
      </w:r>
      <w:r>
        <w:rPr>
          <w:rFonts w:ascii="Helvetica Neue" w:hAnsi="Helvetica Neue"/>
          <w:b w:val="0"/>
        </w:rPr>
        <w:t>Split larger events across multiple rooms so review, certificates, and rewards stay manageable.</w:t>
      </w:r>
    </w:p>
    <w:p w14:paraId="0000003B">
      <w:pPr>
        <w:keepNext w:val="0"/>
        <w:keepLines w:val="1"/>
        <w:pageBreakBefore w:val="0"/>
        <w:widowControl w:val="1"/>
        <w:numPr>
          <w:ilvl w:val="0"/>
          <w:numId w:val="2"/>
        </w:numPr>
        <w:pBdr>
          <w:top w:space="0" w:sz="0" w:val="nil"/>
          <w:left w:space="0" w:sz="0" w:val="nil"/>
          <w:bottom w:space="0" w:sz="0" w:val="nil"/>
          <w:right w:space="0" w:sz="0" w:val="nil"/>
          <w:between w:space="0" w:sz="0" w:val="nil"/>
        </w:pBdr>
        <w:shd w:fill="auto" w:val="clear"/>
        <w:spacing w:after="180" w:before="0" w:line="276" w:lineRule="auto"/>
        <w:ind w:left="540" w:right="0" w:hanging="270"/>
        <w:jc w:val="left"/>
        <w:rPr/>
      </w:pPr>
      <w:r>
        <w:rPr>
          <w:rFonts w:ascii="Helvetica Neue" w:hAnsi="Helvetica Neue"/>
          <w:b/>
        </w:rPr>
        <w:t xml:space="preserve">Use the app for final submissions. </w:t>
      </w:r>
      <w:r>
        <w:rPr>
          <w:rFonts w:ascii="Helvetica Neue" w:hAnsi="Helvetica Neue"/>
          <w:b w:val="0"/>
        </w:rPr>
        <w:t>Ask participants to submit Google Drive, GitHub, demo, and proof links inside the app. Do not treat chat messages as final submissions.</w:t>
      </w:r>
    </w:p>
    <w:p w14:paraId="0000003C">
      <w:pPr>
        <w:keepNext w:val="0"/>
        <w:keepLines w:val="1"/>
        <w:pageBreakBefore w:val="0"/>
        <w:widowControl w:val="1"/>
        <w:numPr>
          <w:ilvl w:val="0"/>
          <w:numId w:val="2"/>
        </w:numPr>
        <w:pBdr>
          <w:top w:space="0" w:sz="0" w:val="nil"/>
          <w:left w:space="0" w:sz="0" w:val="nil"/>
          <w:bottom w:space="0" w:sz="0" w:val="nil"/>
          <w:right w:space="0" w:sz="0" w:val="nil"/>
          <w:between w:space="0" w:sz="0" w:val="nil"/>
        </w:pBdr>
        <w:shd w:fill="auto" w:val="clear"/>
        <w:spacing w:after="180" w:before="0" w:line="276" w:lineRule="auto"/>
        <w:ind w:left="540" w:right="0" w:hanging="270"/>
        <w:jc w:val="left"/>
        <w:rPr/>
      </w:pPr>
      <w:r>
        <w:rPr>
          <w:rFonts w:ascii="Helvetica Neue" w:hAnsi="Helvetica Neue"/>
          <w:b/>
        </w:rPr>
        <w:t xml:space="preserve">Issue awards in a controlled sequence. </w:t>
      </w:r>
      <w:r>
        <w:rPr>
          <w:rFonts w:ascii="Helvetica Neue" w:hAnsi="Helvetica Neue"/>
          <w:b w:val="0"/>
        </w:rPr>
        <w:t>First verify submissions, then announce winners, then issue participant certificates, winner certificates, and selected badges.</w:t>
      </w:r>
    </w:p>
    <w:bookmarkStart w:colFirst="0" w:colLast="0" w:name="bookmark=id.rl3o3rp5qmnq" w:id="7"/>
    <w:bookmarkEnd w:id="7"/>
    <w:p w14:paraId="0000003D">
      <w:pPr>
        <w:pStyle w:val="Heading2"/>
        <w:rPr/>
      </w:pPr>
      <w:r>
        <w:rPr>
          <w:rtl w:val="0"/>
        </w:rPr>
        <w:t xml:space="preserve">Conclusion</w:t>
      </w:r>
    </w:p>
    <w:p w14:paraId="0000003E">
      <w:pPr>
        <w:rPr/>
      </w:pPr>
      <w:r>
        <w:rPr>
          <w:rFonts w:ascii="Helvetica Neue" w:hAnsi="Helvetica Neue"/>
          <w:b w:val="0"/>
          <w:i w:val="0"/>
        </w:rPr>
        <w:t>A strong event on RDM Hack feels organized, fair, and calm. The host’s job is to keep room membership clean, make the app the final submission record, and issue awards only after review decisions are final.</w:t>
      </w:r>
    </w:p>
    <w:p w14:paraId="0000003F">
      <w:pPr>
        <w:rPr/>
      </w:pPr>
      <w:r>
        <w:rPr>
          <w:rFonts w:ascii="Helvetica Neue" w:hAnsi="Helvetica Neue"/>
          <w:b w:val="0"/>
          <w:i w:val="0"/>
        </w:rPr>
        <w:t>If the event is large, split the work across rooms instead of forcing everything through one room. This is the simplest way to keep the participant experience smooth.</w:t>
      </w:r>
    </w:p>
    <w:bookmarkStart w:colFirst="0" w:colLast="0" w:name="bookmark=id.cf45595vup8a" w:id="8"/>
    <w:bookmarkEnd w:id="8"/>
    <w:p w14:paraId="00000040">
      <w:pPr>
        <w:pStyle w:val="Heading1"/>
        <w:pageBreakBefore w:val="1"/>
        <w:rPr/>
      </w:pPr>
      <w:r>
        <w:rPr>
          <w:rtl w:val="0"/>
        </w:rPr>
        <w:t xml:space="preserve">Appendix</w:t>
      </w:r>
    </w:p>
    <w:bookmarkStart w:colFirst="0" w:colLast="0" w:name="bookmark=id.ptrg31dozyqs" w:id="9"/>
    <w:bookmarkEnd w:id="9"/>
    <w:p w14:paraId="00000041">
      <w:pPr>
        <w:pStyle w:val="Heading2"/>
        <w:rPr/>
      </w:pPr>
      <w:r>
        <w:rPr>
          <w:rtl w:val="0"/>
        </w:rPr>
        <w:t xml:space="preserve">Notes</w:t>
      </w:r>
    </w:p>
    <w:p w14:paraId="00000042">
      <w:pPr>
        <w:rPr/>
      </w:pPr>
      <w:r>
        <w:rPr>
          <w:rFonts w:ascii="Helvetica Neue" w:hAnsi="Helvetica Neue"/>
          <w:b w:val="0"/>
          <w:i w:val="0"/>
        </w:rPr>
        <w:t>Suggested event flow: create rooms, share invite codes, publish the assignment, collect final submissions in the app, review work, approve valid submissions, announce winners, issue participant certificates, issue winner certificates, then award selected NFT badges.</w:t>
      </w:r>
    </w:p>
    <w:p w14:paraId="00000043">
      <w:pPr>
        <w:rPr/>
      </w:pPr>
      <w:r>
        <w:rPr>
          <w:rFonts w:ascii="Helvetica Neue" w:hAnsi="Helvetica Neue"/>
          <w:b w:val="0"/>
          <w:i w:val="0"/>
        </w:rPr>
        <w:t>Certificate checklist: verify membership first, use Select All only when the room list is final, issue certificates room-wise, avoid repeated clicks, keep stable internet, and wait until the app confirms completion.</w:t>
      </w:r>
    </w:p>
    <w:bookmarkStart w:colFirst="0" w:colLast="0" w:name="bookmark=id.nnk1eebni0ji" w:id="10"/>
    <w:bookmarkEnd w:id="10"/>
    <w:p w14:paraId="00000044">
      <w:pPr>
        <w:pStyle w:val="Heading2"/>
        <w:rPr/>
      </w:pPr>
      <w:r>
        <w:rPr>
          <w:rFonts w:ascii="Helvetica Neue" w:hAnsi="Helvetica Neue"/>
          <w:b w:val="0"/>
          <w:i w:val="0"/>
        </w:rPr>
        <w:t>Badge ideas and host checklist</w:t>
      </w:r>
    </w:p>
    <w:p w14:paraId="00000045">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540" w:right="0" w:hanging="270"/>
        <w:jc w:val="left"/>
        <w:rPr/>
      </w:pPr>
      <w:r>
        <w:rPr>
          <w:rFonts w:ascii="Helvetica Neue" w:hAnsi="Helvetica Neue"/>
          <w:b w:val="0"/>
          <w:i w:val="0"/>
        </w:rPr>
        <w:t>Funny NFT badge ideas: first to submit, last-minute submitter, best question asker, most enthusiastic participant, debugging hero, best team spirit, cleanest GitHub repo, most creative idea, best demo energy, and most improved participant.</w:t>
      </w:r>
    </w:p>
    <w:p w14:paraId="00000046">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540" w:right="0" w:hanging="270"/>
        <w:jc w:val="left"/>
        <w:rPr/>
      </w:pPr>
      <w:r>
        <w:rPr>
          <w:rFonts w:ascii="Helvetica Neue" w:hAnsi="Helvetica Neue"/>
          <w:b w:val="0"/>
          <w:i w:val="0"/>
        </w:rPr>
        <w:t>Use badges selectively. They are best for special recognition, not for every participant. This keeps badges meaningful and avoids unnecessary processing load.</w:t>
      </w:r>
    </w:p>
    <w:p w14:paraId="00000047">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540" w:right="0" w:hanging="270"/>
        <w:jc w:val="left"/>
        <w:rPr/>
      </w:pPr>
      <w:r>
        <w:rPr>
          <w:rFonts w:ascii="Helvetica Neue" w:hAnsi="Helvetica Neue"/>
          <w:b w:val="0"/>
          <w:i w:val="0"/>
        </w:rPr>
        <w:t>Winner guidance: announce winners only after final review is complete. Give winner certificates only to officially selected winners or winner groups.</w:t>
      </w:r>
    </w:p>
    <w:p w14:paraId="00000048">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540" w:right="0" w:hanging="270"/>
        <w:jc w:val="left"/>
        <w:rPr/>
      </w:pPr>
      <w:r>
        <w:rPr>
          <w:rFonts w:ascii="Helvetica Neue" w:hAnsi="Helvetica Neue"/>
          <w:b w:val="0"/>
          <w:i w:val="0"/>
        </w:rPr>
        <w:t>Participant guidance: participant certificates are for people who completed the event requirements. They should not be mixed with winner certificates.</w:t>
      </w:r>
    </w:p>
    <w:p w14:paraId="00000049">
      <w:pPr>
        <w:keepNext w:val="0"/>
        <w:keepLines w:val="1"/>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pPr>
      <w:r>
        <w:rPr>
          <w:rtl w:val="0"/>
        </w:rPr>
      </w:r>
    </w:p>
    <w:p w14:paraId="0000004A">
      <w:pPr>
        <w:keepNext w:val="0"/>
        <w:keepLines w:val="1"/>
        <w:pageBreakBefore w:val="0"/>
        <w:widowControl w:val="1"/>
        <w:pBdr>
          <w:top w:space="0" w:sz="0" w:val="nil"/>
          <w:left w:color="595959" w:space="8" w:sz="16" w:val="single"/>
          <w:bottom w:space="0" w:sz="0" w:val="nil"/>
          <w:right w:space="0" w:sz="0" w:val="nil"/>
          <w:between w:space="0" w:sz="0" w:val="nil"/>
        </w:pBdr>
        <w:shd w:fill="f2f2f2" w:val="clear"/>
        <w:spacing w:after="200" w:before="160" w:line="269" w:lineRule="auto"/>
        <w:ind w:left="259" w:right="259" w:firstLine="0"/>
        <w:jc w:val="left"/>
        <w:rPr>
          <w:rFonts w:ascii="Helvetica Neue" w:cs="Helvetica Neue" w:eastAsia="Helvetica Neue" w:hAnsi="Helvetica Neue"/>
          <w:b w:val="0"/>
          <w:bCs w:val="0"/>
          <w:i w:val="0"/>
          <w:iCs w:val="0"/>
          <w:smallCaps w:val="0"/>
          <w:strike w:val="0"/>
          <w:color w:val="000000"/>
          <w:u w:val="none"/>
          <w:shd w:fill="auto" w:val="clear"/>
          <w:vertAlign w:val="baseline"/>
        </w:rPr>
      </w:pPr>
      <w:r>
        <w:rPr>
          <w:rFonts w:ascii="Helvetica Neue" w:hAnsi="Helvetica Neue"/>
          <w:b w:val="0"/>
          <w:i w:val="0"/>
        </w:rPr>
        <w:t>Host note. Wait for every reward, certificate, or badge action to complete before starting the next one. This protects records from duplicate or partial actions.</w:t>
      </w:r>
    </w:p>
    <w:sectPr>
      <w:headerReference r:id="rId9" w:type="default"/>
      <w:footerReference r:id="rId10" w:type="default"/>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0" w:right="0" w:firstLine="0"/>
      <w:jc w:val="right"/>
      <w:rPr>
        <w:rFonts w:ascii="Helvetica Neue" w:cs="Helvetica Neue" w:eastAsia="Helvetica Neue" w:hAnsi="Helvetica Neue"/>
        <w:b w:val="0"/>
        <w:bCs w:val="0"/>
        <w:i w:val="0"/>
        <w:iCs w:val="0"/>
        <w:smallCaps w:val="0"/>
        <w:strike w:val="0"/>
        <w:color w:val="7a7a7a"/>
        <w:sz w:val="18"/>
        <w:szCs w:val="18"/>
        <w:u w:val="none"/>
        <w:shd w:fill="auto" w:val="clear"/>
        <w:vertAlign w:val="baseline"/>
      </w:rPr>
    </w:pPr>
    <w:r>
      <w:rPr>
        <w:rFonts w:ascii="Helvetica Neue" w:cs="Helvetica Neue" w:eastAsia="Helvetica Neue" w:hAnsi="Helvetica Neue"/>
        <w:b w:val="0"/>
        <w:bCs w:val="0"/>
        <w:i w:val="0"/>
        <w:iCs w:val="0"/>
        <w:smallCaps w:val="0"/>
        <w:strike w:val="0"/>
        <w:color w:val="7a7a7a"/>
        <w:sz w:val="18"/>
        <w:szCs w:val="18"/>
        <w:u w:val="none"/>
        <w:shd w:fill="auto" w:val="clear"/>
        <w:vertAlign w:val="baseline"/>
      </w:rPr>
      <w:fldChar w:fldCharType="begin"/>
      <w:instrText xml:space="preserve">PAGE</w:instrText>
      <w:fldChar w:fldCharType="separate"/>
      <w:fldChar w:fldCharType="end"/>
    </w:r>
    <w:r>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51">
    <w:pPr>
      <w:rPr/>
    </w:pPr>
    <w:r>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4B">
    <w:pPr>
      <w:keepNext w:val="0"/>
      <w:keepLines w:val="0"/>
      <w:pageBreakBefore w:val="0"/>
      <w:widowControl w:val="1"/>
      <w:pBdr>
        <w:top w:space="0" w:sz="0" w:val="nil"/>
        <w:left w:space="0" w:sz="0" w:val="nil"/>
        <w:bottom w:color="d9d9d9" w:space="5" w:sz="4" w:val="single"/>
        <w:right w:space="0" w:sz="0" w:val="nil"/>
        <w:between w:space="0" w:sz="0" w:val="nil"/>
      </w:pBdr>
      <w:shd w:fill="auto" w:val="clear"/>
      <w:spacing w:after="80" w:before="0" w:line="278.00000000000006" w:lineRule="auto"/>
      <w:ind w:left="0" w:right="0" w:firstLine="0"/>
      <w:jc w:val="left"/>
      <w:rPr>
        <w:color w:val="7a7a7a"/>
        <w:sz w:val="17"/>
        <w:szCs w:val="17"/>
      </w:rPr>
    </w:pPr>
    <w:r>
      <w:rPr>
        <w:rtl w:val="0"/>
      </w:rPr>
    </w:r>
  </w:p>
  <w:sdt>
    <w:sdtPr>
      <w:lock w:val="contentLocked"/>
      <w:id w:val="2109222018"/>
      <w:tag w:val="goog_rdk_0"/>
    </w:sdtPr>
    <w:sdtContent>
      <w:tbl>
        <w:tblPr>
          <w:tblStyle w:val="Table3"/>
          <w:tblW w:w="9360.0" w:type="dxa"/>
          <w:jc w:val="left"/>
          <w:tblLayout w:type="fixed"/>
          <w:tblLook w:val="0600"/>
        </w:tblPr>
        <w:tblGrid>
          <w:gridCol w:w="4680"/>
          <w:gridCol w:w="4680"/>
          <w:tblGridChange w:id="0">
            <w:tblGrid>
              <w:gridCol w:w="4680"/>
              <w:gridCol w:w="4680"/>
            </w:tblGrid>
          </w:tblGridChange>
        </w:tblGrid>
        <w:tr>
          <w:trPr>
            <w:cantSplit w:val="1"/>
            <w:trHeight w:val="325.74149576822384" w:hRule="atLeast"/>
            <w:tblHeader w:val="0"/>
          </w:trPr>
          <w:tc>
            <w:tcPr>
              <w:shd w:fill="auto" w:val="clear"/>
              <w:tcMar>
                <w:top w:w="0.0" w:type="dxa"/>
                <w:left w:w="0.0" w:type="dxa"/>
                <w:bottom w:w="0.0" w:type="dxa"/>
                <w:right w:w="0.0" w:type="dxa"/>
              </w:tcMar>
              <w:vAlign w:val="top"/>
            </w:tcPr>
            <w:p w14:paraId="0000004C">
              <w:pPr>
                <w:pBdr>
                  <w:top w:space="0" w:sz="0" w:val="nil"/>
                  <w:left w:space="0" w:sz="0" w:val="nil"/>
                  <w:bottom w:space="0" w:sz="0" w:val="nil"/>
                  <w:right w:space="0" w:sz="0" w:val="nil"/>
                  <w:between w:space="0" w:sz="0" w:val="nil"/>
                </w:pBdr>
                <w:shd w:fill="auto" w:val="clear"/>
                <w:spacing w:after="80" w:line="278.00000000000006" w:lineRule="auto"/>
                <w:rPr>
                  <w:color w:val="7a7a7a"/>
                  <w:sz w:val="17"/>
                  <w:szCs w:val="17"/>
                </w:rPr>
              </w:pPr>
              <w:r>
                <w:rPr>
                  <w:color w:val="7a7a7a"/>
                  <w:sz w:val="17"/>
                  <w:szCs w:val="17"/>
                  <w:rtl w:val="0"/>
                </w:rPr>
                <w:t xml:space="preserve">RDM Hack Host User Guide</w:t>
              </w:r>
            </w:p>
            <w:p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7a7a7a"/>
                  <w:sz w:val="17"/>
                  <w:szCs w:val="17"/>
                </w:rPr>
              </w:pPr>
              <w:r>
                <w:rPr>
                  <w:rtl w:val="0"/>
                </w:rPr>
              </w:r>
            </w:p>
          </w:tc>
          <w:tc>
            <w:tcPr>
              <w:shd w:fill="auto" w:val="clear"/>
              <w:tcMar>
                <w:top w:w="0.0" w:type="dxa"/>
                <w:left w:w="0.0" w:type="dxa"/>
                <w:bottom w:w="0.0" w:type="dxa"/>
                <w:right w:w="0.0" w:type="dxa"/>
              </w:tcMar>
              <w:vAlign w:val="top"/>
            </w:tcPr>
            <w:p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color w:val="7a7a7a"/>
                  <w:sz w:val="17"/>
                  <w:szCs w:val="17"/>
                </w:rPr>
              </w:pPr>
              <w:r>
                <w:rPr>
                  <w:color w:val="7a7a7a"/>
                  <w:sz w:val="17"/>
                  <w:szCs w:val="17"/>
                  <w:rtl w:val="0"/>
                </w:rPr>
                <w:t xml:space="preserve">July 2026</w:t>
              </w:r>
            </w:p>
          </w:tc>
        </w:tr>
      </w:tbl>
    </w:sdtContent>
  </w:sdt>
  <w:p w14:paraId="0000004F">
    <w:pPr>
      <w:rPr/>
    </w:pPr>
    <w:r>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40" w:hanging="270"/>
      </w:pPr>
      <w:rPr>
        <w:rFonts w:ascii="Helvetica Neue" w:cs="Helvetica Neue" w:eastAsia="Helvetica Neue" w:hAnsi="Helvetica Neu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540" w:hanging="270"/>
      </w:pPr>
      <w:rPr>
        <w:rFonts w:ascii="Helvetica Neue" w:cs="Helvetica Neue" w:eastAsia="Helvetica Neue" w:hAnsi="Helvetica Neu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Helvetica Neue" w:cs="Helvetica Neue" w:eastAsia="Helvetica Neue" w:hAnsi="Helvetica Neue"/>
        <w:sz w:val="22"/>
        <w:szCs w:val="22"/>
        <w:lang w:val="en"/>
      </w:rPr>
    </w:rPrDefault>
    <w:pPrDefault>
      <w:pPr>
        <w:spacing w:after="12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200" w:before="360" w:lineRule="auto"/>
    </w:pPr>
    <w:rPr>
      <w:rFonts w:ascii="Helvetica Neue" w:cs="Helvetica Neue" w:eastAsia="Helvetica Neue" w:hAnsi="Helvetica Neue"/>
      <w:b w:val="0"/>
      <w:bCs w:val="0"/>
      <w:color w:val="000000"/>
      <w:sz w:val="48"/>
      <w:szCs w:val="48"/>
    </w:rPr>
  </w:style>
  <w:style w:type="paragraph" w:styleId="Heading2">
    <w:name w:val="heading 2"/>
    <w:basedOn w:val="Normal"/>
    <w:next w:val="Normal"/>
    <w:pPr>
      <w:keepNext w:val="1"/>
      <w:keepLines w:val="1"/>
      <w:spacing w:after="120" w:before="280" w:lineRule="auto"/>
    </w:pPr>
    <w:rPr>
      <w:rFonts w:ascii="Helvetica Neue" w:cs="Helvetica Neue" w:eastAsia="Helvetica Neue" w:hAnsi="Helvetica Neue"/>
      <w:b w:val="0"/>
      <w:bCs w:val="0"/>
      <w:color w:val="000000"/>
      <w:sz w:val="30"/>
      <w:szCs w:val="30"/>
    </w:rPr>
  </w:style>
  <w:style w:type="paragraph" w:styleId="Heading3">
    <w:name w:val="heading 3"/>
    <w:basedOn w:val="Normal"/>
    <w:next w:val="Normal"/>
    <w:pPr>
      <w:keepNext w:val="1"/>
      <w:keepLines w:val="1"/>
      <w:spacing w:after="80" w:before="200" w:lineRule="auto"/>
    </w:pPr>
    <w:rPr>
      <w:rFonts w:ascii="Helvetica Neue" w:cs="Helvetica Neue" w:eastAsia="Helvetica Neue" w:hAnsi="Helvetica Neue"/>
      <w:b w:val="1"/>
      <w:bCs w:val="1"/>
      <w:color w:val="000000"/>
      <w:sz w:val="24"/>
      <w:szCs w:val="24"/>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100" w:line="278.00000000000006" w:lineRule="auto"/>
    </w:pPr>
    <w:rPr>
      <w:b w:val="1"/>
      <w:bCs w:val="1"/>
      <w:sz w:val="80"/>
      <w:szCs w:val="80"/>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7" Type="http://schemas.openxmlformats.org/officeDocument/2006/relationships/image" Target="media/image1.png"/><Relationship Id="rId8" Type="http://schemas.openxmlformats.org/officeDocument/2006/relationships/footer" Target="footer2.xml"/></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