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r>
        <w:t xml:space="preserve">A plain paragraph having some </w:t>
      </w:r>
      <w:r>
        <w:rPr>
          <w:b/>
        </w:rPr>
        <w:t>bold</w:t>
      </w:r>
      <w:r>
        <w:t xml:space="preserve"> and some </w:t>
      </w:r>
      <w:r>
        <w:rPr>
          <w:i/>
        </w:rPr>
        <w:t>italic.</w:t>
      </w:r>
    </w:p>
    <w:p>
      <w:pPr>
        <w:pStyle w:val="Heading1"/>
      </w:pPr>
      <w:r>
        <w:t>Heading, level 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first item in unordered list</w:t>
      </w:r>
    </w:p>
    <w:p>
      <w:pPr>
        <w:pStyle w:val="ListNumber"/>
      </w:pPr>
      <w:r>
        <w:t>first item in ordered list</w:t>
      </w:r>
    </w:p>
    <w:p>
      <w:r>
        <w:drawing>
          <wp:inline xmlns:a="http://schemas.openxmlformats.org/drawingml/2006/main" xmlns:pic="http://schemas.openxmlformats.org/drawingml/2006/picture">
            <wp:extent cx="1143000" cy="1623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y-tru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6233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Spam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Eggs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>Spam, spam, eggs, and spam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