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1B" w:rsidRPr="0094401B" w:rsidRDefault="0094401B" w:rsidP="0094401B">
      <w:pPr>
        <w:pStyle w:val="NormalWeb"/>
        <w:spacing w:before="120" w:beforeAutospacing="0" w:after="120" w:afterAutospacing="0" w:line="336" w:lineRule="atLeast"/>
        <w:rPr>
          <w:color w:val="000000"/>
          <w:sz w:val="27"/>
          <w:szCs w:val="27"/>
          <w:lang w:val="en-US"/>
        </w:rPr>
      </w:pPr>
      <w:bookmarkStart w:id="0" w:name="_GoBack"/>
      <w:r w:rsidRPr="0094401B">
        <w:rPr>
          <w:rStyle w:val="notranslate"/>
          <w:rFonts w:ascii="inherit" w:hAnsi="inherit"/>
          <w:b/>
          <w:bCs/>
          <w:color w:val="000000"/>
          <w:sz w:val="21"/>
          <w:szCs w:val="21"/>
          <w:lang w:val="en-US"/>
        </w:rPr>
        <w:t>Defined standards when naming databases and objects in a database</w:t>
      </w:r>
      <w:bookmarkEnd w:id="0"/>
      <w:r w:rsidRPr="0094401B">
        <w:rPr>
          <w:rStyle w:val="notranslate"/>
          <w:rFonts w:ascii="inherit" w:hAnsi="inherit"/>
          <w:b/>
          <w:bCs/>
          <w:color w:val="000000"/>
          <w:sz w:val="21"/>
          <w:szCs w:val="21"/>
          <w:lang w:val="en-US"/>
        </w:rPr>
        <w:t>: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480"/>
        <w:rPr>
          <w:color w:val="000000"/>
          <w:sz w:val="20"/>
          <w:szCs w:val="20"/>
        </w:rPr>
      </w:pPr>
      <w:r w:rsidRPr="0094401B">
        <w:rPr>
          <w:color w:val="000000"/>
          <w:sz w:val="14"/>
          <w:szCs w:val="14"/>
          <w:lang w:val="en-US"/>
        </w:rPr>
        <w:t>              </w:t>
      </w:r>
      <w:r>
        <w:rPr>
          <w:rStyle w:val="notranslate"/>
          <w:rFonts w:ascii="inherit" w:hAnsi="inherit"/>
          <w:color w:val="000000"/>
          <w:sz w:val="21"/>
          <w:szCs w:val="21"/>
        </w:rPr>
        <w:t>General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Separate words and prefixes with "_" (underscore);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No abbreviations should be used;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Entities must be appointed in English;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480"/>
        <w:rPr>
          <w:color w:val="000000"/>
          <w:sz w:val="20"/>
          <w:szCs w:val="20"/>
        </w:rPr>
      </w:pPr>
      <w:r w:rsidRPr="0094401B">
        <w:rPr>
          <w:color w:val="000000"/>
          <w:sz w:val="14"/>
          <w:szCs w:val="14"/>
          <w:lang w:val="en-US"/>
        </w:rPr>
        <w:t>              </w:t>
      </w:r>
      <w:r>
        <w:rPr>
          <w:rStyle w:val="notranslate"/>
          <w:rFonts w:ascii="inherit" w:hAnsi="inherit"/>
          <w:color w:val="000000"/>
          <w:sz w:val="21"/>
          <w:szCs w:val="21"/>
        </w:rPr>
        <w:t>Tables</w:t>
      </w:r>
    </w:p>
    <w:p w:rsid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Always in the singular;</w:t>
      </w:r>
    </w:p>
    <w:p w:rsid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Choose names without ambiguity;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Do not use more than two words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in the name of training;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Prefix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metadata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tables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with the table name to which it relates;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Concatenate the names of the two tables involved in a relationship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"n: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n";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Columns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primary key must have the table name with the prefix "CD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_";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Foreign keys must have the same name as the primary keys to which they refer.</w:t>
      </w:r>
      <w:r w:rsidRPr="0094401B">
        <w:rPr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When there is more than one foreign key in the same table this must be adjectivated;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When there is a column that use enumerators or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metadata, indicate the name of the column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to the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table (eg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"status" column in the table "person"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would be "id_status_person");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Constraints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name of the primary key must be formed by the name of the table, plus the suffix "_PK";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foreign key name should be formed by the table name, plus the suffix "_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FK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nn"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where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nn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is a sequence starting from "01";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Undecided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name of an index should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ether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are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formed by the table name followed by the name of column (s) (s) plus the "_UX" suffix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for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single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indeces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and "_NX" to;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Sequence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name of 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n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ce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that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must be formed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by 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single name plus the suffix "_SQ"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Trigger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trigger must have the name of the table plus the suffix "_TR";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Views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name of 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view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should be formed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by 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single name plus the suffix "_VW";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Procedures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name of a procedure should be formed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by 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single name plus the suffix "_PR";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Functions</w:t>
      </w:r>
    </w:p>
    <w:p w:rsidR="0094401B" w:rsidRPr="0094401B" w:rsidRDefault="0094401B" w:rsidP="0094401B">
      <w:pPr>
        <w:numPr>
          <w:ilvl w:val="1"/>
          <w:numId w:val="3"/>
        </w:numPr>
        <w:spacing w:line="336" w:lineRule="atLeast"/>
        <w:ind w:left="1281" w:firstLine="0"/>
        <w:rPr>
          <w:color w:val="000000"/>
          <w:sz w:val="20"/>
          <w:szCs w:val="20"/>
          <w:lang w:val="en-US"/>
        </w:rPr>
      </w:pP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The name of 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function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must be formed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by a</w:t>
      </w:r>
      <w:r w:rsidRPr="0094401B">
        <w:rPr>
          <w:rStyle w:val="notranslate"/>
          <w:color w:val="000000"/>
          <w:sz w:val="20"/>
          <w:szCs w:val="20"/>
          <w:lang w:val="en-US"/>
        </w:rPr>
        <w:t> </w:t>
      </w:r>
      <w:r w:rsidRPr="0094401B">
        <w:rPr>
          <w:rStyle w:val="notranslate"/>
          <w:rFonts w:ascii="inherit" w:hAnsi="inherit"/>
          <w:color w:val="000000"/>
          <w:sz w:val="21"/>
          <w:szCs w:val="21"/>
          <w:lang w:val="en-US"/>
        </w:rPr>
        <w:t>single name plus the suffix "_FN";</w:t>
      </w:r>
    </w:p>
    <w:p w:rsidR="0094401B" w:rsidRDefault="0094401B" w:rsidP="0094401B">
      <w:pPr>
        <w:numPr>
          <w:ilvl w:val="0"/>
          <w:numId w:val="3"/>
        </w:numPr>
        <w:spacing w:line="336" w:lineRule="atLeast"/>
        <w:ind w:left="561" w:firstLine="0"/>
        <w:rPr>
          <w:color w:val="000000"/>
          <w:sz w:val="20"/>
          <w:szCs w:val="20"/>
        </w:rPr>
      </w:pPr>
      <w:r>
        <w:rPr>
          <w:rStyle w:val="notranslate"/>
          <w:rFonts w:ascii="inherit" w:hAnsi="inherit"/>
          <w:color w:val="000000"/>
          <w:sz w:val="21"/>
          <w:szCs w:val="21"/>
        </w:rPr>
        <w:t>Acronyms</w:t>
      </w:r>
    </w:p>
    <w:tbl>
      <w:tblPr>
        <w:tblW w:w="9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2000"/>
        <w:gridCol w:w="5620"/>
      </w:tblGrid>
      <w:tr w:rsidR="0094401B" w:rsidTr="0094401B">
        <w:trPr>
          <w:trHeight w:val="255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notranslate"/>
                <w:b/>
                <w:bCs/>
                <w:sz w:val="20"/>
                <w:szCs w:val="20"/>
              </w:rPr>
              <w:t>Initials</w:t>
            </w:r>
          </w:p>
        </w:tc>
        <w:tc>
          <w:tcPr>
            <w:tcW w:w="2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notranslate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notranslate"/>
                <w:b/>
                <w:bCs/>
                <w:sz w:val="20"/>
                <w:szCs w:val="20"/>
              </w:rPr>
              <w:t>Description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CD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Code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Used for</w:t>
            </w:r>
            <w:r>
              <w:rPr>
                <w:rStyle w:val="notranslate"/>
              </w:rPr>
              <w:t> </w:t>
            </w:r>
            <w:r>
              <w:rPr>
                <w:rStyle w:val="notranslate"/>
                <w:sz w:val="20"/>
                <w:szCs w:val="20"/>
              </w:rPr>
              <w:t>sequential idenficadores.</w:t>
            </w:r>
          </w:p>
        </w:tc>
      </w:tr>
      <w:tr w:rsidR="0094401B" w:rsidRP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Identified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Pr="0094401B" w:rsidRDefault="0094401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94401B">
              <w:rPr>
                <w:rStyle w:val="notranslate"/>
                <w:sz w:val="20"/>
                <w:szCs w:val="20"/>
                <w:lang w:val="en-US"/>
              </w:rPr>
              <w:t>Identificadore</w:t>
            </w:r>
            <w:r w:rsidRPr="0094401B">
              <w:rPr>
                <w:rStyle w:val="notranslate"/>
                <w:lang w:val="en-US"/>
              </w:rPr>
              <w:t> </w:t>
            </w:r>
            <w:r w:rsidRPr="0094401B">
              <w:rPr>
                <w:rStyle w:val="notranslate"/>
                <w:sz w:val="20"/>
                <w:szCs w:val="20"/>
                <w:lang w:val="en-US"/>
              </w:rPr>
              <w:t>for enumerated types or</w:t>
            </w:r>
            <w:r w:rsidRPr="0094401B">
              <w:rPr>
                <w:rStyle w:val="notranslate"/>
                <w:lang w:val="en-US"/>
              </w:rPr>
              <w:t> </w:t>
            </w:r>
            <w:r w:rsidRPr="0094401B">
              <w:rPr>
                <w:rStyle w:val="notranslate"/>
                <w:sz w:val="20"/>
                <w:szCs w:val="20"/>
                <w:lang w:val="en-US"/>
              </w:rPr>
              <w:t>flags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NM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Name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Name the entity</w:t>
            </w:r>
          </w:p>
        </w:tc>
      </w:tr>
      <w:tr w:rsidR="0094401B" w:rsidRP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DS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Description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Pr="0094401B" w:rsidRDefault="0094401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94401B">
              <w:rPr>
                <w:rStyle w:val="notranslate"/>
                <w:sz w:val="20"/>
                <w:szCs w:val="20"/>
                <w:lang w:val="en-US"/>
              </w:rPr>
              <w:t>Fields of observation and other</w:t>
            </w:r>
            <w:r w:rsidRPr="0094401B">
              <w:rPr>
                <w:rStyle w:val="notranslate"/>
                <w:lang w:val="en-US"/>
              </w:rPr>
              <w:t> </w:t>
            </w:r>
            <w:r w:rsidRPr="0094401B">
              <w:rPr>
                <w:rStyle w:val="notranslate"/>
                <w:sz w:val="20"/>
                <w:szCs w:val="20"/>
                <w:lang w:val="en-US"/>
              </w:rPr>
              <w:t>textual</w:t>
            </w:r>
            <w:r w:rsidRPr="0094401B">
              <w:rPr>
                <w:rStyle w:val="notranslate"/>
                <w:lang w:val="en-US"/>
              </w:rPr>
              <w:t> </w:t>
            </w:r>
            <w:r w:rsidRPr="0094401B">
              <w:rPr>
                <w:rStyle w:val="notranslate"/>
                <w:sz w:val="20"/>
                <w:szCs w:val="20"/>
                <w:lang w:val="en-US"/>
              </w:rPr>
              <w:t>contents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SG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Initials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Initials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NR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Number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Number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QT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Amount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Amount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VL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Value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Cash values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TX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Percentage Rate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Rate or Percentage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FL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Flag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Binary flags;</w:t>
            </w:r>
            <w:r>
              <w:t> </w:t>
            </w:r>
            <w:r>
              <w:rPr>
                <w:rStyle w:val="notranslate"/>
                <w:sz w:val="20"/>
                <w:szCs w:val="20"/>
              </w:rPr>
              <w:t>boolean fields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DT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Date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Date without time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DH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Date Time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Date and time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HR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Hour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Hour</w:t>
            </w:r>
          </w:p>
        </w:tc>
      </w:tr>
      <w:tr w:rsidR="0094401B" w:rsidTr="0094401B">
        <w:trPr>
          <w:trHeight w:val="25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IM</w:t>
            </w:r>
          </w:p>
        </w:tc>
        <w:tc>
          <w:tcPr>
            <w:tcW w:w="20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Image</w:t>
            </w:r>
          </w:p>
        </w:tc>
        <w:tc>
          <w:tcPr>
            <w:tcW w:w="562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4401B" w:rsidRDefault="0094401B">
            <w:pPr>
              <w:pStyle w:val="NormalWeb"/>
              <w:spacing w:before="0" w:beforeAutospacing="0" w:after="0" w:afterAutospacing="0"/>
            </w:pPr>
            <w:r>
              <w:rPr>
                <w:rStyle w:val="notranslate"/>
                <w:sz w:val="20"/>
                <w:szCs w:val="20"/>
              </w:rPr>
              <w:t>Binary set</w:t>
            </w:r>
          </w:p>
        </w:tc>
      </w:tr>
    </w:tbl>
    <w:p w:rsidR="0094401B" w:rsidRDefault="0094401B" w:rsidP="0094401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</w:rPr>
        <w:t> </w:t>
      </w:r>
    </w:p>
    <w:p w:rsidR="00EB31A8" w:rsidRDefault="00044BD3">
      <w:pPr>
        <w:rPr>
          <w:color w:val="000000" w:themeColor="text1"/>
        </w:rPr>
      </w:pPr>
    </w:p>
    <w:p w:rsidR="00F86AE8" w:rsidRDefault="0094401B">
      <w:pPr>
        <w:rPr>
          <w:color w:val="000000" w:themeColor="text1"/>
        </w:rPr>
      </w:pPr>
      <w:r>
        <w:rPr>
          <w:color w:val="000000" w:themeColor="text1"/>
        </w:rPr>
        <w:t>Example</w:t>
      </w:r>
      <w:r w:rsidR="00C078C6">
        <w:rPr>
          <w:color w:val="000000" w:themeColor="text1"/>
        </w:rPr>
        <w:t>:</w:t>
      </w:r>
    </w:p>
    <w:p w:rsidR="00C078C6" w:rsidRPr="00BE2AEB" w:rsidRDefault="00C078C6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017770" cy="29095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8C6" w:rsidRPr="00BE2AEB">
      <w:head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BD3" w:rsidRDefault="00044BD3" w:rsidP="00BC631A">
      <w:r>
        <w:separator/>
      </w:r>
    </w:p>
  </w:endnote>
  <w:endnote w:type="continuationSeparator" w:id="0">
    <w:p w:rsidR="00044BD3" w:rsidRDefault="00044BD3" w:rsidP="00BC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BD3" w:rsidRDefault="00044BD3" w:rsidP="00BC631A">
      <w:r>
        <w:separator/>
      </w:r>
    </w:p>
  </w:footnote>
  <w:footnote w:type="continuationSeparator" w:id="0">
    <w:p w:rsidR="00044BD3" w:rsidRDefault="00044BD3" w:rsidP="00BC6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31A" w:rsidRDefault="00BC631A">
    <w:pPr>
      <w:pStyle w:val="Cabealho"/>
    </w:pPr>
    <w:r>
      <w:rPr>
        <w:noProof/>
        <w:lang w:eastAsia="pt-BR"/>
      </w:rPr>
      <w:drawing>
        <wp:inline distT="0" distB="0" distL="0" distR="0">
          <wp:extent cx="1148080" cy="244475"/>
          <wp:effectExtent l="0" t="0" r="0" b="317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244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024"/>
    <w:multiLevelType w:val="multilevel"/>
    <w:tmpl w:val="D96A4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01E64CF"/>
    <w:multiLevelType w:val="multilevel"/>
    <w:tmpl w:val="400C70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67D5BE4"/>
    <w:multiLevelType w:val="multilevel"/>
    <w:tmpl w:val="EC7CE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C6"/>
    <w:rsid w:val="00032CE7"/>
    <w:rsid w:val="00044BD3"/>
    <w:rsid w:val="001D5C3D"/>
    <w:rsid w:val="00322FA4"/>
    <w:rsid w:val="004260ED"/>
    <w:rsid w:val="00437F8B"/>
    <w:rsid w:val="00623F79"/>
    <w:rsid w:val="006D2340"/>
    <w:rsid w:val="007D085B"/>
    <w:rsid w:val="0088261E"/>
    <w:rsid w:val="0094401B"/>
    <w:rsid w:val="009E0F5D"/>
    <w:rsid w:val="00B20E94"/>
    <w:rsid w:val="00BC631A"/>
    <w:rsid w:val="00BE2AEB"/>
    <w:rsid w:val="00C078C6"/>
    <w:rsid w:val="00C923CD"/>
    <w:rsid w:val="00D21A09"/>
    <w:rsid w:val="00E064C6"/>
    <w:rsid w:val="00EE68A2"/>
    <w:rsid w:val="00F8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918FD9-BF34-4EB9-8E40-939E5B82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CE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32CE7"/>
    <w:pPr>
      <w:keepNext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032CE7"/>
    <w:pPr>
      <w:keepNext/>
      <w:jc w:val="right"/>
      <w:outlineLvl w:val="1"/>
    </w:pPr>
    <w:rPr>
      <w:sz w:val="36"/>
    </w:rPr>
  </w:style>
  <w:style w:type="paragraph" w:styleId="Ttulo3">
    <w:name w:val="heading 3"/>
    <w:basedOn w:val="Normal"/>
    <w:next w:val="Normal"/>
    <w:link w:val="Ttulo3Char"/>
    <w:qFormat/>
    <w:rsid w:val="00032C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32CE7"/>
    <w:pPr>
      <w:keepNext/>
      <w:outlineLvl w:val="3"/>
    </w:pPr>
    <w:rPr>
      <w:b/>
      <w:bCs/>
      <w:sz w:val="40"/>
    </w:rPr>
  </w:style>
  <w:style w:type="paragraph" w:styleId="Ttulo5">
    <w:name w:val="heading 5"/>
    <w:basedOn w:val="Normal"/>
    <w:next w:val="Normal"/>
    <w:link w:val="Ttulo5Char"/>
    <w:qFormat/>
    <w:rsid w:val="00032CE7"/>
    <w:p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qFormat/>
    <w:rsid w:val="00032CE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032CE7"/>
    <w:pPr>
      <w:keepNext/>
      <w:jc w:val="center"/>
      <w:outlineLvl w:val="7"/>
    </w:pPr>
    <w:rPr>
      <w:b/>
      <w:bCs/>
      <w:color w:val="FF0000"/>
      <w:sz w:val="40"/>
    </w:rPr>
  </w:style>
  <w:style w:type="paragraph" w:styleId="Ttulo9">
    <w:name w:val="heading 9"/>
    <w:basedOn w:val="Normal"/>
    <w:next w:val="Normal"/>
    <w:link w:val="Ttulo9Char"/>
    <w:qFormat/>
    <w:rsid w:val="00032CE7"/>
    <w:pPr>
      <w:keepNext/>
      <w:outlineLvl w:val="8"/>
    </w:pPr>
    <w:rPr>
      <w:b/>
      <w:bCs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32CE7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032CE7"/>
    <w:rPr>
      <w:sz w:val="36"/>
      <w:szCs w:val="24"/>
    </w:rPr>
  </w:style>
  <w:style w:type="character" w:customStyle="1" w:styleId="Ttulo3Char">
    <w:name w:val="Título 3 Char"/>
    <w:basedOn w:val="Fontepargpadro"/>
    <w:link w:val="Ttulo3"/>
    <w:rsid w:val="00032CE7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032CE7"/>
    <w:rPr>
      <w:b/>
      <w:bCs/>
      <w:sz w:val="40"/>
      <w:szCs w:val="24"/>
    </w:rPr>
  </w:style>
  <w:style w:type="character" w:customStyle="1" w:styleId="Ttulo5Char">
    <w:name w:val="Título 5 Char"/>
    <w:basedOn w:val="Fontepargpadro"/>
    <w:link w:val="Ttulo5"/>
    <w:rsid w:val="00032CE7"/>
    <w:rPr>
      <w:b/>
      <w:bCs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rsid w:val="00032CE7"/>
    <w:rPr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032CE7"/>
    <w:rPr>
      <w:b/>
      <w:bCs/>
      <w:color w:val="FF0000"/>
      <w:sz w:val="40"/>
      <w:szCs w:val="24"/>
    </w:rPr>
  </w:style>
  <w:style w:type="character" w:customStyle="1" w:styleId="Ttulo9Char">
    <w:name w:val="Título 9 Char"/>
    <w:basedOn w:val="Fontepargpadro"/>
    <w:link w:val="Ttulo9"/>
    <w:rsid w:val="00032CE7"/>
    <w:rPr>
      <w:b/>
      <w:bCs/>
      <w:color w:val="FF0000"/>
      <w:sz w:val="24"/>
      <w:szCs w:val="24"/>
    </w:rPr>
  </w:style>
  <w:style w:type="paragraph" w:styleId="Ttulo">
    <w:name w:val="Title"/>
    <w:basedOn w:val="Normal"/>
    <w:link w:val="TtuloChar"/>
    <w:qFormat/>
    <w:rsid w:val="00032CE7"/>
    <w:pPr>
      <w:jc w:val="center"/>
    </w:pPr>
    <w:rPr>
      <w:sz w:val="40"/>
    </w:rPr>
  </w:style>
  <w:style w:type="character" w:customStyle="1" w:styleId="TtuloChar">
    <w:name w:val="Título Char"/>
    <w:basedOn w:val="Fontepargpadro"/>
    <w:link w:val="Ttulo"/>
    <w:rsid w:val="00032CE7"/>
    <w:rPr>
      <w:sz w:val="40"/>
      <w:szCs w:val="24"/>
    </w:rPr>
  </w:style>
  <w:style w:type="paragraph" w:styleId="SemEspaamento">
    <w:name w:val="No Spacing"/>
    <w:link w:val="SemEspaamentoChar"/>
    <w:uiPriority w:val="1"/>
    <w:qFormat/>
    <w:rsid w:val="00032CE7"/>
    <w:rPr>
      <w:rFonts w:ascii="Calibri" w:eastAsia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032CE7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064C6"/>
    <w:pPr>
      <w:spacing w:before="100" w:beforeAutospacing="1" w:after="100" w:afterAutospacing="1"/>
    </w:pPr>
    <w:rPr>
      <w:lang w:eastAsia="pt-BR"/>
    </w:rPr>
  </w:style>
  <w:style w:type="character" w:styleId="Forte">
    <w:name w:val="Strong"/>
    <w:basedOn w:val="Fontepargpadro"/>
    <w:uiPriority w:val="22"/>
    <w:qFormat/>
    <w:rsid w:val="00E064C6"/>
    <w:rPr>
      <w:b/>
      <w:bCs/>
    </w:rPr>
  </w:style>
  <w:style w:type="character" w:styleId="nfase">
    <w:name w:val="Emphasis"/>
    <w:basedOn w:val="Fontepargpadro"/>
    <w:uiPriority w:val="20"/>
    <w:qFormat/>
    <w:rsid w:val="00E064C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8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8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C63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C631A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C63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C631A"/>
    <w:rPr>
      <w:sz w:val="24"/>
      <w:szCs w:val="24"/>
    </w:rPr>
  </w:style>
  <w:style w:type="character" w:customStyle="1" w:styleId="notranslate">
    <w:name w:val="notranslate"/>
    <w:basedOn w:val="Fontepargpadro"/>
    <w:rsid w:val="0094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Sasse</dc:creator>
  <cp:lastModifiedBy>Eduardo Henrique Sasse</cp:lastModifiedBy>
  <cp:revision>3</cp:revision>
  <dcterms:created xsi:type="dcterms:W3CDTF">2017-04-19T00:24:00Z</dcterms:created>
  <dcterms:modified xsi:type="dcterms:W3CDTF">2017-10-22T16:25:00Z</dcterms:modified>
</cp:coreProperties>
</file>