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4, de 12 de agosto de 2002</w:t>
      </w:r>
    </w:p>
    <w:p>
      <w:r>
        <w:t>" Autoriza a dispensa de interposição de recursos e a desistência dos já interpostos, nas ações que menciona."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921/99, desta Procuradoria-Geral da Fazenda Nacional, pelo Senhor Ministro de Estado da Fazenda, conforme despacho publicado no DOU de 06/08/99, Seção I, p. 11, declara que fica autorizada a dispensa de interposição de recursos e a desistência dos já interpostos, nas ações que cuidam, no mérito, exclusivamente, acerca da:</w:t>
      </w:r>
    </w:p>
    <w:p>
      <w:r>
        <w:t>" cobrança, pela União, do Imposto de Renda sobre o pagamento (in pecunia) de férias não gozadas - por necessidade do serviço - pelo servidor público, desde que inexista qualquer outro fundamento relevante" .</w:t>
      </w:r>
    </w:p>
    <w:p>
      <w:r>
        <w:t>JURISPRUDÊNCIA: Superior Tribunal de Justiça - Enunciado da Súmula 125.</w:t>
      </w:r>
    </w:p>
    <w:p>
      <w:r>
        <w:t>ALMIR MARTINS BASTOS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4, de 12 de agosto de 2002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