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22, de 30 de abril de 1997</w:t>
      </w:r>
    </w:p>
    <w:p>
      <w:r>
        <w:t>Dispõe sobre a indenização, a título reparatório, de que trata a Lei nº 9.140, de 4 de dezembro de 1995.</w:t>
      </w:r>
    </w:p>
    <w:p>
      <w:r>
        <w:t>O SECRETÁRIO DA RECEITA FEDERAL, no uso de suas atribuiçoes</w:t>
      </w:r>
    </w:p>
    <w:p>
      <w:r>
        <w:t>DECLARA, que a indenização, a título reparatório, de que trata o art. 11 da Lei nº 9.140, de 4 de dezembro de 1995, não está sujeita à incidência do Imposto de Renda.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22, de 30 de abril de 1997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