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Ato Declaratório SRF nº 48, de 27 de junho de 2000</w:t>
      </w:r>
    </w:p>
    <w:p>
      <w:r>
        <w:t>"Dispõe sobre reciprocidade de tratamento relativamente a imposto pago no Brasil ou no Reino Unido."</w:t>
      </w:r>
    </w:p>
    <w:p>
      <w:r>
        <w:t>O SECRETÁRIO DA RECEITA FEDERAL, no uso de suas atribuições, e tendo em vista o disposto no § 3º do art. 1º da Instrução Normativa SRF nº 73, de 21 de julho de 1998, declara que:</w:t>
      </w:r>
    </w:p>
    <w:p>
      <w:r>
        <w:t>I - a legislação do Reino Unido permite a dedução do imposto de renda comprovadamente pago no Brasil sobre rendimentos auferidos e tributados no Brasil, o que configura, nos termos do § 2º do art. 1º da Instrução Normativa nº 73, de 1998, a reciprocidade de tratamento;</w:t>
      </w:r>
    </w:p>
    <w:p>
      <w:r>
        <w:t>II - o imposto pago no Reino Unido pode ser compensado com o imposto devido no Brasil, observados os limites a que referem os arts. 14, § 3º, 15, § 6º e 16, § 1º da Instrução Normativa nº 73, de 1998.</w:t>
      </w:r>
    </w:p>
    <w:p>
      <w:r>
        <w:t>EVERARDO MACIEL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Declaratório SRF nº 48, de 27 de junho de 2000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