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Interpretativo SRF nº 14, de 1º de dezembro de 2005</w:t>
      </w:r>
    </w:p>
    <w:p>
      <w:r>
        <w:t>Dispõe sobre as hipóteses em que se aplica o Ato Declaratório Interpretativo SRF nº 5, de 27 de abril de 2005, no caso de revisão de crédito tributário relativo ao Imposto sobre a Renda incidente sobre os valores pagos (em pecúnia) a título de férias integrais e de licença-prêmio não gozadas por necessidade do serviço, a trabalhadores em geral ou a servidores públicos.</w:t>
      </w:r>
    </w:p>
    <w:p>
      <w:r>
        <w:t>O SECRETÁRIO DA RECEITA FEDERAL, no uso da atribuição que lhe confere o inciso III do art. 230 do Regimento Interno da Secretaria da Receita Federal, aprovado pela Portaria MF nº 30, de 25 de fevereiro de 2005, tendo em vista o disposto nos §§ 4º e 5º do art. 19 da Lei nº 10.522, de 19 de julho de 2002, e o que consta no processo nº 10168.004133/2005-19, declara:</w:t>
      </w:r>
    </w:p>
    <w:p>
      <w:r>
        <w:t>Art. 1º O Ato Declaratório Interpretativo SRF nº 5, de 27 de abril de 2005, editado em decorrência do Parecer PGFN/CRJ/Nº 1905/2004, de 29 de novembro de 2004, tratou da não incidência do imposto de renda somente nas hipóteses de pagamento de valores a título de férias integrais e de licença-prêmio não gozadas por necessidade do serviço quando da aposentadoria, rescisão de contrato de trabalho ou exoneração, previstas nas Súmulas nos 125 e 136 do Superior Tribunal de Justiça (STJ), a trabalhadores em geral ou a servidores públicos.</w:t>
      </w:r>
    </w:p>
    <w:p>
      <w:r>
        <w:t>Art. 2º Sofrem a incidência do imposto de renda, prevista no art. 3º, §§ 1º e 4º, da Lei nº 7.713, de 1988, e no art. 43, inciso III, do Decreto nº 3.000, de 26 de março de 1999 - Regulamento do Imposto de Renda (RIR/1999), as demais formas de pagamento em pecúnia a título de férias e de licença-prêmio não gozadas.</w:t>
      </w:r>
    </w:p>
    <w:p>
      <w:r>
        <w:t>JORGE ANTONIO DEHER RACHID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Interpretativo SRF nº 14, de 1º de dezembro de 2005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