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Interpretativo SRF nº 8, de 23 de abril de 2003</w:t>
      </w:r>
    </w:p>
    <w:p>
      <w:r>
        <w:t>Dispõe sobre o tratamento tributário das aplicações financeiras realizadas em moeda estrangeira nas hipóteses que especifica.</w:t>
      </w:r>
    </w:p>
    <w:p>
      <w:r>
        <w:t>O SECRETÁRIO DA RECEITA FEDERAL, no uso da atribuição que lhe confere o inciso III do art. 209 do Regimento Interno da Secretaria da Receita Federal, aprovado pela Portaria MF nº 259, de 24 de agosto de 2001, e tendo em vista o disposto no art. 24 da Medida Provisória nº 2.158-35, de 24 de agosto de 2001, e no Processo nº 10168.001178/2003-70, declara:</w:t>
      </w:r>
    </w:p>
    <w:p>
      <w:r>
        <w:t>Art. 1º O crédito de rendimentos relativos a aplicação financeira, inclusive depósito remunerado, realizada em moeda estrangeira por pessoa física residente no Brasil, implica a apuração de ganho de capital tributável, desde que o valor creditado seja passível de saque pelo beneficiário.</w:t>
      </w:r>
    </w:p>
    <w:p>
      <w:r>
        <w:t>Art. 2º São isentos os ganhos de capital relativos às aplicações financeiras realizadas em moeda estrangeira pela pessoa física na condição de não-residente no Brasil:</w:t>
      </w:r>
    </w:p>
    <w:p>
      <w:r>
        <w:t>I - correspondentes ao primeiro crédito de rendimentos ocorrido a partir da data da caracterização da condição de residente no Brasil, na hipótese de aplicação financeira realizada por tempo indeterminado, inclusive depósito remunerado;</w:t>
      </w:r>
    </w:p>
    <w:p>
      <w:r>
        <w:t>II - apurados na liquidação ou resgate, a partir da data da caracterização da condição de residente no Brasil, de aplicação financeira realizada por tempo determinado.</w:t>
      </w:r>
    </w:p>
    <w:p>
      <w:r>
        <w:t>Art. 3º Implica a apuração de ganho de capital tributável a liquidação ou resgate de aplicações financeiras:</w:t>
      </w:r>
    </w:p>
    <w:p>
      <w:r>
        <w:t>I - mantidas pela pessoa física após o primeiro crédito de rendimentos ocorrido a partir da data da caracterização da condição de residente no Brasil, na hipótese do inciso I do art. 2º;</w:t>
      </w:r>
    </w:p>
    <w:p>
      <w:r>
        <w:t>II - correspondentes à reaplicação total ou parcial dos valores liquidados ou resgatados, na hipótese do inciso II do art. 2º.</w:t>
      </w:r>
    </w:p>
    <w:p>
      <w:r>
        <w:t>JORGE ANTONIO DEHER RACHID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Interpretativo SRF nº 8, de 23 de abril de 2003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