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B8FD7" w14:textId="77777777" w:rsidR="00BC6E9B" w:rsidRDefault="00000000">
      <w:pPr>
        <w:spacing w:after="0"/>
        <w:ind w:left="1346"/>
      </w:pPr>
      <w:r>
        <w:rPr>
          <w:rFonts w:ascii="Arial" w:eastAsia="Arial" w:hAnsi="Arial" w:cs="Arial"/>
          <w:sz w:val="20"/>
        </w:rPr>
        <w:t xml:space="preserve"> </w:t>
      </w:r>
    </w:p>
    <w:p w14:paraId="606A3007" w14:textId="77777777" w:rsidR="00BC6E9B" w:rsidRDefault="00000000">
      <w:pPr>
        <w:spacing w:after="0"/>
        <w:ind w:left="850"/>
      </w:pPr>
      <w:r>
        <w:rPr>
          <w:rFonts w:ascii="Arial" w:eastAsia="Arial" w:hAnsi="Arial" w:cs="Arial"/>
          <w:sz w:val="20"/>
        </w:rPr>
        <w:t xml:space="preserve"> </w:t>
      </w:r>
    </w:p>
    <w:p w14:paraId="64C15F5F" w14:textId="77777777" w:rsidR="00BC6E9B" w:rsidRPr="0002253F" w:rsidRDefault="00000000">
      <w:pPr>
        <w:spacing w:after="4" w:line="249" w:lineRule="auto"/>
        <w:ind w:left="1356" w:hanging="10"/>
        <w:jc w:val="both"/>
        <w:rPr>
          <w:lang w:val="pt-BR"/>
        </w:rPr>
      </w:pPr>
      <w:r w:rsidRPr="0002253F">
        <w:rPr>
          <w:rFonts w:ascii="Arial" w:eastAsia="Arial" w:hAnsi="Arial" w:cs="Arial"/>
          <w:sz w:val="20"/>
          <w:lang w:val="pt-BR"/>
        </w:rPr>
        <w:t xml:space="preserve">Procuradoria-Geral da Fazenda Nacional </w:t>
      </w:r>
    </w:p>
    <w:p w14:paraId="6974AFC1" w14:textId="77777777" w:rsidR="00BC6E9B" w:rsidRPr="0002253F" w:rsidRDefault="00000000">
      <w:pPr>
        <w:spacing w:after="4" w:line="249" w:lineRule="auto"/>
        <w:ind w:left="70" w:right="1147" w:firstLine="1277"/>
        <w:jc w:val="both"/>
        <w:rPr>
          <w:lang w:val="pt-BR"/>
        </w:rPr>
      </w:pPr>
      <w:r w:rsidRPr="0002253F">
        <w:rPr>
          <w:rFonts w:ascii="Arial" w:eastAsia="Arial" w:hAnsi="Arial" w:cs="Arial"/>
          <w:sz w:val="20"/>
          <w:lang w:val="pt-BR"/>
        </w:rPr>
        <w:t xml:space="preserve">Coordenação-Geral da Representação Judicial da Fazenda Nacional – CRJ  Coordenação de Consultoria Judicial – COJUD </w:t>
      </w:r>
      <w:r w:rsidRPr="0002253F">
        <w:rPr>
          <w:rFonts w:ascii="Bookman Old Style" w:eastAsia="Bookman Old Style" w:hAnsi="Bookman Old Style" w:cs="Bookman Old Style"/>
          <w:sz w:val="26"/>
          <w:lang w:val="pt-BR"/>
        </w:rPr>
        <w:t xml:space="preserve"> </w:t>
      </w:r>
    </w:p>
    <w:p w14:paraId="3C875CB3" w14:textId="77777777" w:rsidR="00BC6E9B" w:rsidRPr="0002253F" w:rsidRDefault="00000000">
      <w:pPr>
        <w:spacing w:after="43"/>
        <w:ind w:left="70"/>
        <w:rPr>
          <w:lang w:val="pt-BR"/>
        </w:rPr>
      </w:pPr>
      <w:r w:rsidRPr="0002253F">
        <w:rPr>
          <w:rFonts w:ascii="Arial" w:eastAsia="Arial" w:hAnsi="Arial" w:cs="Arial"/>
          <w:sz w:val="20"/>
          <w:lang w:val="pt-BR"/>
        </w:rPr>
        <w:t xml:space="preserve"> </w:t>
      </w:r>
    </w:p>
    <w:p w14:paraId="2FFC13D9" w14:textId="77777777" w:rsidR="00BC6E9B" w:rsidRPr="0002253F" w:rsidRDefault="00000000">
      <w:pPr>
        <w:spacing w:after="0"/>
        <w:ind w:left="142"/>
        <w:rPr>
          <w:lang w:val="pt-BR"/>
        </w:rPr>
      </w:pPr>
      <w:r w:rsidRPr="0002253F">
        <w:rPr>
          <w:rFonts w:ascii="Bookman Old Style" w:eastAsia="Bookman Old Style" w:hAnsi="Bookman Old Style" w:cs="Bookman Old Style"/>
          <w:sz w:val="26"/>
          <w:lang w:val="pt-BR"/>
        </w:rPr>
        <w:t xml:space="preserve"> </w:t>
      </w:r>
    </w:p>
    <w:p w14:paraId="749236FB" w14:textId="77777777" w:rsidR="00BC6E9B" w:rsidRPr="0002253F" w:rsidRDefault="00000000">
      <w:pPr>
        <w:spacing w:after="0"/>
        <w:ind w:left="142"/>
        <w:rPr>
          <w:lang w:val="pt-BR"/>
        </w:rPr>
      </w:pPr>
      <w:r w:rsidRPr="0002253F">
        <w:rPr>
          <w:rFonts w:ascii="Bookman Old Style" w:eastAsia="Bookman Old Style" w:hAnsi="Bookman Old Style" w:cs="Bookman Old Style"/>
          <w:sz w:val="26"/>
          <w:lang w:val="pt-BR"/>
        </w:rPr>
        <w:t xml:space="preserve"> </w:t>
      </w:r>
    </w:p>
    <w:p w14:paraId="28544282" w14:textId="77777777" w:rsidR="00BC6E9B" w:rsidRPr="0002253F" w:rsidRDefault="00000000">
      <w:pPr>
        <w:tabs>
          <w:tab w:val="center" w:pos="850"/>
          <w:tab w:val="center" w:pos="1560"/>
          <w:tab w:val="center" w:pos="4037"/>
        </w:tabs>
        <w:spacing w:after="0"/>
        <w:rPr>
          <w:lang w:val="pt-BR"/>
        </w:rPr>
      </w:pPr>
      <w:r w:rsidRPr="0002253F">
        <w:rPr>
          <w:rFonts w:ascii="Arial" w:eastAsia="Arial" w:hAnsi="Arial" w:cs="Arial"/>
          <w:b/>
          <w:lang w:val="pt-BR"/>
        </w:rPr>
        <w:t xml:space="preserve">  </w:t>
      </w:r>
      <w:r w:rsidRPr="0002253F">
        <w:rPr>
          <w:rFonts w:ascii="Arial" w:eastAsia="Arial" w:hAnsi="Arial" w:cs="Arial"/>
          <w:b/>
          <w:lang w:val="pt-BR"/>
        </w:rPr>
        <w:tab/>
        <w:t xml:space="preserve"> </w:t>
      </w:r>
      <w:r w:rsidRPr="0002253F">
        <w:rPr>
          <w:rFonts w:ascii="Arial" w:eastAsia="Arial" w:hAnsi="Arial" w:cs="Arial"/>
          <w:b/>
          <w:lang w:val="pt-BR"/>
        </w:rPr>
        <w:tab/>
        <w:t xml:space="preserve"> </w:t>
      </w:r>
      <w:r w:rsidRPr="0002253F">
        <w:rPr>
          <w:rFonts w:ascii="Arial" w:eastAsia="Arial" w:hAnsi="Arial" w:cs="Arial"/>
          <w:b/>
          <w:lang w:val="pt-BR"/>
        </w:rPr>
        <w:tab/>
        <w:t>PARECER PGFN/CRJ/N</w:t>
      </w:r>
      <w:r w:rsidRPr="0002253F">
        <w:rPr>
          <w:rFonts w:ascii="Arial" w:eastAsia="Arial" w:hAnsi="Arial" w:cs="Arial"/>
          <w:b/>
          <w:u w:val="single" w:color="000000"/>
          <w:vertAlign w:val="superscript"/>
          <w:lang w:val="pt-BR"/>
        </w:rPr>
        <w:t>o</w:t>
      </w:r>
      <w:r w:rsidRPr="0002253F">
        <w:rPr>
          <w:rFonts w:ascii="Arial" w:eastAsia="Arial" w:hAnsi="Arial" w:cs="Arial"/>
          <w:b/>
          <w:lang w:val="pt-BR"/>
        </w:rPr>
        <w:t xml:space="preserve"> 701/2016             </w:t>
      </w:r>
    </w:p>
    <w:p w14:paraId="43882A80" w14:textId="77777777" w:rsidR="00BC6E9B" w:rsidRPr="0002253F" w:rsidRDefault="00000000">
      <w:pPr>
        <w:spacing w:after="0"/>
        <w:ind w:left="766"/>
        <w:jc w:val="center"/>
        <w:rPr>
          <w:lang w:val="pt-BR"/>
        </w:rPr>
      </w:pPr>
      <w:r w:rsidRPr="0002253F">
        <w:rPr>
          <w:rFonts w:ascii="Arial" w:eastAsia="Arial" w:hAnsi="Arial" w:cs="Arial"/>
          <w:color w:val="FF0000"/>
          <w:lang w:val="pt-BR"/>
        </w:rPr>
        <w:t xml:space="preserve"> </w:t>
      </w:r>
    </w:p>
    <w:p w14:paraId="59D34FF5" w14:textId="77777777" w:rsidR="00BC6E9B" w:rsidRPr="0002253F" w:rsidRDefault="00000000">
      <w:pPr>
        <w:spacing w:after="0"/>
        <w:ind w:left="766"/>
        <w:jc w:val="center"/>
        <w:rPr>
          <w:lang w:val="pt-BR"/>
        </w:rPr>
      </w:pPr>
      <w:r w:rsidRPr="0002253F">
        <w:rPr>
          <w:rFonts w:ascii="Arial" w:eastAsia="Arial" w:hAnsi="Arial" w:cs="Arial"/>
          <w:color w:val="FF0000"/>
          <w:lang w:val="pt-BR"/>
        </w:rPr>
        <w:t xml:space="preserve"> </w:t>
      </w:r>
    </w:p>
    <w:p w14:paraId="1AAF5395" w14:textId="77777777" w:rsidR="00BC6E9B" w:rsidRPr="0002253F" w:rsidRDefault="00000000">
      <w:pPr>
        <w:spacing w:after="0"/>
        <w:ind w:left="766"/>
        <w:jc w:val="center"/>
        <w:rPr>
          <w:lang w:val="pt-BR"/>
        </w:rPr>
      </w:pPr>
      <w:r w:rsidRPr="0002253F">
        <w:rPr>
          <w:rFonts w:ascii="Arial" w:eastAsia="Arial" w:hAnsi="Arial" w:cs="Arial"/>
          <w:color w:val="FF0000"/>
          <w:lang w:val="pt-BR"/>
        </w:rPr>
        <w:t xml:space="preserve"> </w:t>
      </w:r>
    </w:p>
    <w:p w14:paraId="53262BFB" w14:textId="77777777" w:rsidR="00BC6E9B" w:rsidRPr="0002253F" w:rsidRDefault="00000000">
      <w:pPr>
        <w:spacing w:after="4" w:line="249" w:lineRule="auto"/>
        <w:ind w:left="4688" w:hanging="10"/>
        <w:jc w:val="both"/>
        <w:rPr>
          <w:lang w:val="pt-BR"/>
        </w:rPr>
      </w:pPr>
      <w:r w:rsidRPr="0002253F">
        <w:rPr>
          <w:rFonts w:ascii="Arial" w:eastAsia="Arial" w:hAnsi="Arial" w:cs="Arial"/>
          <w:sz w:val="20"/>
          <w:lang w:val="pt-BR"/>
        </w:rPr>
        <w:t xml:space="preserve">Tributário. Isenção. Imposto de Renda incidente sobre os proventos de aposentadoria, pensão ou reforma percebidos por portadores de moléstias graves, nos termos do art. 6º, incisos XIV e XXI, da Lei nº 7.713, de 1988, independentemente da comprovação da contemporaneidade dos sintomas ou da recidiva da enfermidade. </w:t>
      </w:r>
    </w:p>
    <w:p w14:paraId="7A722681" w14:textId="77777777" w:rsidR="00BC6E9B" w:rsidRPr="0002253F" w:rsidRDefault="00000000">
      <w:pPr>
        <w:spacing w:after="0"/>
        <w:ind w:left="193"/>
        <w:jc w:val="center"/>
        <w:rPr>
          <w:lang w:val="pt-BR"/>
        </w:rPr>
      </w:pPr>
      <w:r w:rsidRPr="0002253F">
        <w:rPr>
          <w:rFonts w:ascii="Arial" w:eastAsia="Arial" w:hAnsi="Arial" w:cs="Arial"/>
          <w:sz w:val="20"/>
          <w:lang w:val="pt-BR"/>
        </w:rPr>
        <w:t xml:space="preserve"> </w:t>
      </w:r>
    </w:p>
    <w:p w14:paraId="083C1967" w14:textId="77777777" w:rsidR="00BC6E9B" w:rsidRPr="0002253F" w:rsidRDefault="00000000">
      <w:pPr>
        <w:spacing w:after="4" w:line="249" w:lineRule="auto"/>
        <w:ind w:left="4688" w:hanging="10"/>
        <w:jc w:val="both"/>
        <w:rPr>
          <w:lang w:val="pt-BR"/>
        </w:rPr>
      </w:pPr>
      <w:r w:rsidRPr="0002253F">
        <w:rPr>
          <w:rFonts w:ascii="Arial" w:eastAsia="Arial" w:hAnsi="Arial" w:cs="Arial"/>
          <w:sz w:val="20"/>
          <w:lang w:val="pt-BR"/>
        </w:rPr>
        <w:t xml:space="preserve">Jurisprudência pacífica do Egrégio Superior </w:t>
      </w:r>
    </w:p>
    <w:p w14:paraId="04A745AF" w14:textId="77777777" w:rsidR="00BC6E9B" w:rsidRPr="0002253F" w:rsidRDefault="00000000">
      <w:pPr>
        <w:spacing w:after="0"/>
        <w:ind w:left="1879" w:hanging="10"/>
        <w:jc w:val="center"/>
        <w:rPr>
          <w:lang w:val="pt-BR"/>
        </w:rPr>
      </w:pPr>
      <w:r w:rsidRPr="0002253F">
        <w:rPr>
          <w:rFonts w:ascii="Arial" w:eastAsia="Arial" w:hAnsi="Arial" w:cs="Arial"/>
          <w:sz w:val="20"/>
          <w:lang w:val="pt-BR"/>
        </w:rPr>
        <w:t xml:space="preserve">Tribunal de Justiça.  </w:t>
      </w:r>
    </w:p>
    <w:p w14:paraId="20290612" w14:textId="77777777" w:rsidR="00BC6E9B" w:rsidRPr="0002253F" w:rsidRDefault="00000000">
      <w:pPr>
        <w:spacing w:after="0"/>
        <w:ind w:left="193"/>
        <w:jc w:val="center"/>
        <w:rPr>
          <w:lang w:val="pt-BR"/>
        </w:rPr>
      </w:pPr>
      <w:r w:rsidRPr="0002253F">
        <w:rPr>
          <w:rFonts w:ascii="Arial" w:eastAsia="Arial" w:hAnsi="Arial" w:cs="Arial"/>
          <w:sz w:val="20"/>
          <w:lang w:val="pt-BR"/>
        </w:rPr>
        <w:t xml:space="preserve"> </w:t>
      </w:r>
    </w:p>
    <w:p w14:paraId="60DA9C8E" w14:textId="77777777" w:rsidR="00BC6E9B" w:rsidRPr="0002253F" w:rsidRDefault="00000000">
      <w:pPr>
        <w:spacing w:after="61" w:line="249" w:lineRule="auto"/>
        <w:ind w:left="4688" w:hanging="10"/>
        <w:jc w:val="both"/>
        <w:rPr>
          <w:lang w:val="pt-BR"/>
        </w:rPr>
      </w:pPr>
      <w:r w:rsidRPr="0002253F">
        <w:rPr>
          <w:rFonts w:ascii="Arial" w:eastAsia="Arial" w:hAnsi="Arial" w:cs="Arial"/>
          <w:sz w:val="20"/>
          <w:lang w:val="pt-BR"/>
        </w:rPr>
        <w:t>Aplicação do art. 19, II, da Lei n</w:t>
      </w:r>
      <w:r w:rsidRPr="0002253F">
        <w:rPr>
          <w:rFonts w:ascii="Arial" w:eastAsia="Arial" w:hAnsi="Arial" w:cs="Arial"/>
          <w:strike/>
          <w:sz w:val="20"/>
          <w:lang w:val="pt-BR"/>
        </w:rPr>
        <w:t>º</w:t>
      </w:r>
      <w:r w:rsidRPr="0002253F">
        <w:rPr>
          <w:rFonts w:ascii="Arial" w:eastAsia="Arial" w:hAnsi="Arial" w:cs="Arial"/>
          <w:sz w:val="20"/>
          <w:lang w:val="pt-BR"/>
        </w:rPr>
        <w:t xml:space="preserve"> 10.522, de 19 de julho de 2002, e do art. 5º do Decreto n</w:t>
      </w:r>
      <w:r w:rsidRPr="0002253F">
        <w:rPr>
          <w:rFonts w:ascii="Arial" w:eastAsia="Arial" w:hAnsi="Arial" w:cs="Arial"/>
          <w:strike/>
          <w:sz w:val="20"/>
          <w:lang w:val="pt-BR"/>
        </w:rPr>
        <w:t>º</w:t>
      </w:r>
      <w:r w:rsidRPr="0002253F">
        <w:rPr>
          <w:rFonts w:ascii="Arial" w:eastAsia="Arial" w:hAnsi="Arial" w:cs="Arial"/>
          <w:sz w:val="20"/>
          <w:lang w:val="pt-BR"/>
        </w:rPr>
        <w:t xml:space="preserve"> 2.346, de 10 de outubro de 1997. Procuradoria-Geral da Fazenda Nacional autorizada a não contestar, a não interpor recursos e a desistir dos já interpostos. </w:t>
      </w:r>
    </w:p>
    <w:p w14:paraId="3DB4E062" w14:textId="77777777" w:rsidR="00BC6E9B" w:rsidRPr="0002253F" w:rsidRDefault="00000000">
      <w:pPr>
        <w:spacing w:after="146"/>
        <w:ind w:left="199"/>
        <w:jc w:val="center"/>
        <w:rPr>
          <w:lang w:val="pt-BR"/>
        </w:rPr>
      </w:pPr>
      <w:r w:rsidRPr="0002253F">
        <w:rPr>
          <w:rFonts w:ascii="Arial" w:eastAsia="Arial" w:hAnsi="Arial" w:cs="Arial"/>
          <w:lang w:val="pt-BR"/>
        </w:rPr>
        <w:t xml:space="preserve"> </w:t>
      </w:r>
    </w:p>
    <w:p w14:paraId="5F10DF8C" w14:textId="77777777" w:rsidR="00BC6E9B" w:rsidRPr="0002253F" w:rsidRDefault="00000000">
      <w:pPr>
        <w:spacing w:after="96"/>
        <w:ind w:left="199"/>
        <w:jc w:val="center"/>
        <w:rPr>
          <w:lang w:val="pt-BR"/>
        </w:rPr>
      </w:pPr>
      <w:r w:rsidRPr="0002253F">
        <w:rPr>
          <w:rFonts w:ascii="Arial" w:eastAsia="Arial" w:hAnsi="Arial" w:cs="Arial"/>
          <w:lang w:val="pt-BR"/>
        </w:rPr>
        <w:t xml:space="preserve"> </w:t>
      </w:r>
    </w:p>
    <w:p w14:paraId="255CF6CC" w14:textId="77777777" w:rsidR="00BC6E9B" w:rsidRPr="0002253F" w:rsidRDefault="00000000">
      <w:pPr>
        <w:spacing w:after="227"/>
        <w:ind w:left="149" w:right="2" w:hanging="10"/>
        <w:jc w:val="center"/>
        <w:rPr>
          <w:lang w:val="pt-BR"/>
        </w:rPr>
      </w:pPr>
      <w:r w:rsidRPr="0002253F">
        <w:rPr>
          <w:rFonts w:ascii="Arial" w:eastAsia="Arial" w:hAnsi="Arial" w:cs="Arial"/>
          <w:b/>
          <w:lang w:val="pt-BR"/>
        </w:rPr>
        <w:t xml:space="preserve">I </w:t>
      </w:r>
    </w:p>
    <w:p w14:paraId="7A74AA07" w14:textId="77777777" w:rsidR="00BC6E9B" w:rsidRPr="0002253F" w:rsidRDefault="00000000">
      <w:pPr>
        <w:spacing w:after="3" w:line="370" w:lineRule="auto"/>
        <w:ind w:left="137" w:hanging="10"/>
        <w:jc w:val="both"/>
        <w:rPr>
          <w:lang w:val="pt-BR"/>
        </w:rPr>
      </w:pPr>
      <w:r w:rsidRPr="0002253F">
        <w:rPr>
          <w:rFonts w:ascii="Arial" w:eastAsia="Arial" w:hAnsi="Arial" w:cs="Arial"/>
          <w:lang w:val="pt-BR"/>
        </w:rPr>
        <w:t xml:space="preserve">  O presente parecer tem por escopo analisar a viabilidade de edição de ato declaratório, com base no art. 19, inciso II, da Lei n</w:t>
      </w:r>
      <w:r w:rsidRPr="0002253F">
        <w:rPr>
          <w:rFonts w:ascii="Arial" w:eastAsia="Arial" w:hAnsi="Arial" w:cs="Arial"/>
          <w:strike/>
          <w:lang w:val="pt-BR"/>
        </w:rPr>
        <w:t>º</w:t>
      </w:r>
      <w:r w:rsidRPr="0002253F">
        <w:rPr>
          <w:rFonts w:ascii="Arial" w:eastAsia="Arial" w:hAnsi="Arial" w:cs="Arial"/>
          <w:lang w:val="pt-BR"/>
        </w:rPr>
        <w:t xml:space="preserve"> 10.522, de 19 de julho de 2002</w:t>
      </w:r>
      <w:r>
        <w:rPr>
          <w:rFonts w:ascii="Arial" w:eastAsia="Arial" w:hAnsi="Arial" w:cs="Arial"/>
          <w:vertAlign w:val="superscript"/>
        </w:rPr>
        <w:footnoteReference w:id="1"/>
      </w:r>
      <w:r w:rsidRPr="0002253F">
        <w:rPr>
          <w:rFonts w:ascii="Arial" w:eastAsia="Arial" w:hAnsi="Arial" w:cs="Arial"/>
          <w:lang w:val="pt-BR"/>
        </w:rPr>
        <w:t>, e no art. 5</w:t>
      </w:r>
      <w:r w:rsidRPr="0002253F">
        <w:rPr>
          <w:rFonts w:ascii="Arial" w:eastAsia="Arial" w:hAnsi="Arial" w:cs="Arial"/>
          <w:strike/>
          <w:lang w:val="pt-BR"/>
        </w:rPr>
        <w:t>º</w:t>
      </w:r>
      <w:r w:rsidRPr="0002253F">
        <w:rPr>
          <w:rFonts w:ascii="Arial" w:eastAsia="Arial" w:hAnsi="Arial" w:cs="Arial"/>
          <w:lang w:val="pt-BR"/>
        </w:rPr>
        <w:t xml:space="preserve"> do Decreto n</w:t>
      </w:r>
      <w:r w:rsidRPr="0002253F">
        <w:rPr>
          <w:rFonts w:ascii="Arial" w:eastAsia="Arial" w:hAnsi="Arial" w:cs="Arial"/>
          <w:strike/>
          <w:lang w:val="pt-BR"/>
        </w:rPr>
        <w:t>º</w:t>
      </w:r>
      <w:r w:rsidRPr="0002253F">
        <w:rPr>
          <w:rFonts w:ascii="Arial" w:eastAsia="Arial" w:hAnsi="Arial" w:cs="Arial"/>
          <w:lang w:val="pt-BR"/>
        </w:rPr>
        <w:t xml:space="preserve"> 2.346, de 10 de outubro de 1997</w:t>
      </w:r>
      <w:r w:rsidRPr="0002253F">
        <w:rPr>
          <w:rFonts w:ascii="Arial" w:eastAsia="Arial" w:hAnsi="Arial" w:cs="Arial"/>
          <w:vertAlign w:val="superscript"/>
          <w:lang w:val="pt-BR"/>
        </w:rPr>
        <w:t>2</w:t>
      </w:r>
      <w:r w:rsidRPr="0002253F">
        <w:rPr>
          <w:rFonts w:ascii="Arial" w:eastAsia="Arial" w:hAnsi="Arial" w:cs="Arial"/>
          <w:lang w:val="pt-BR"/>
        </w:rPr>
        <w:t xml:space="preserve">, que dispense a apresentação de contestação, a interposição de recursos e a desistência dos já interpostos, em relação às demandas/decisões judiciais fundadas no entendimento de que a isenção do Imposto de Renda sobre os proventos de aposentadoria, reforma ou pensão percebidos por portadores de moléstias graves, nos termos do art. 6º, incisos XIV e XXI, da Lei nº 7.713, de 22 de dezembro de 1988, não exige </w:t>
      </w:r>
      <w:r w:rsidRPr="0002253F">
        <w:rPr>
          <w:rFonts w:ascii="Arial" w:eastAsia="Arial" w:hAnsi="Arial" w:cs="Arial"/>
          <w:lang w:val="pt-BR"/>
        </w:rPr>
        <w:lastRenderedPageBreak/>
        <w:t xml:space="preserve">a demonstração da contemporaneidade dos sintomas ou a comprovação da recidiva da enfermidade. </w:t>
      </w:r>
    </w:p>
    <w:p w14:paraId="68ABB80A" w14:textId="77777777" w:rsidR="00BC6E9B" w:rsidRPr="0002253F" w:rsidRDefault="00000000">
      <w:pPr>
        <w:spacing w:after="123"/>
        <w:ind w:left="142"/>
        <w:rPr>
          <w:lang w:val="pt-BR"/>
        </w:rPr>
      </w:pPr>
      <w:r w:rsidRPr="0002253F">
        <w:rPr>
          <w:rFonts w:ascii="Arial" w:eastAsia="Arial" w:hAnsi="Arial" w:cs="Arial"/>
          <w:lang w:val="pt-BR"/>
        </w:rPr>
        <w:t xml:space="preserve"> </w:t>
      </w:r>
    </w:p>
    <w:p w14:paraId="1EC04E3F" w14:textId="77777777" w:rsidR="00BC6E9B" w:rsidRPr="0002253F" w:rsidRDefault="00000000">
      <w:pPr>
        <w:numPr>
          <w:ilvl w:val="0"/>
          <w:numId w:val="1"/>
        </w:numPr>
        <w:spacing w:after="3" w:line="370" w:lineRule="auto"/>
        <w:ind w:hanging="10"/>
        <w:jc w:val="both"/>
        <w:rPr>
          <w:lang w:val="pt-BR"/>
        </w:rPr>
      </w:pPr>
      <w:r w:rsidRPr="0002253F">
        <w:rPr>
          <w:rFonts w:ascii="Arial" w:eastAsia="Arial" w:hAnsi="Arial" w:cs="Arial"/>
          <w:lang w:val="pt-BR"/>
        </w:rPr>
        <w:t>Por força do art. 19, §§ 4º, 5º e 7º, da Lei nº 10.522, de 2002</w:t>
      </w:r>
      <w:r w:rsidRPr="0002253F">
        <w:rPr>
          <w:rFonts w:ascii="Arial" w:eastAsia="Arial" w:hAnsi="Arial" w:cs="Arial"/>
          <w:vertAlign w:val="superscript"/>
          <w:lang w:val="pt-BR"/>
        </w:rPr>
        <w:t>3</w:t>
      </w:r>
      <w:r w:rsidRPr="0002253F">
        <w:rPr>
          <w:rFonts w:ascii="Arial" w:eastAsia="Arial" w:hAnsi="Arial" w:cs="Arial"/>
          <w:lang w:val="pt-BR"/>
        </w:rPr>
        <w:t xml:space="preserve">, com a redação conferida pela Lei nº 12.844, de 19 de julho de 2013, o presente parecer terá, ainda, o condão de vincular a Secretaria da Receita Federal do Brasil - RFB, obrigando-a, inclusive, a rever de ofício os lançamentos já efetuados.  </w:t>
      </w:r>
    </w:p>
    <w:p w14:paraId="52868EF8" w14:textId="77777777" w:rsidR="00BC6E9B" w:rsidRPr="0002253F" w:rsidRDefault="00000000">
      <w:pPr>
        <w:spacing w:after="105"/>
        <w:ind w:left="142"/>
        <w:rPr>
          <w:lang w:val="pt-BR"/>
        </w:rPr>
      </w:pPr>
      <w:r w:rsidRPr="0002253F">
        <w:rPr>
          <w:rFonts w:ascii="Arial" w:eastAsia="Arial" w:hAnsi="Arial" w:cs="Arial"/>
          <w:lang w:val="pt-BR"/>
        </w:rPr>
        <w:t xml:space="preserve"> </w:t>
      </w:r>
    </w:p>
    <w:p w14:paraId="0F278FE5" w14:textId="77777777" w:rsidR="00BC6E9B" w:rsidRPr="0002253F" w:rsidRDefault="00000000">
      <w:pPr>
        <w:numPr>
          <w:ilvl w:val="0"/>
          <w:numId w:val="1"/>
        </w:numPr>
        <w:spacing w:after="3" w:line="370" w:lineRule="auto"/>
        <w:ind w:hanging="10"/>
        <w:jc w:val="both"/>
        <w:rPr>
          <w:lang w:val="pt-BR"/>
        </w:rPr>
      </w:pPr>
      <w:r w:rsidRPr="0002253F">
        <w:rPr>
          <w:rFonts w:ascii="Arial" w:eastAsia="Arial" w:hAnsi="Arial" w:cs="Arial"/>
          <w:lang w:val="pt-BR"/>
        </w:rPr>
        <w:t>A análise em comento decorre da existência de decisões reiteradas de ambas as Turmas de Direito Público do Superior Tribunal de Justiça ─ STJ em sentido contrário ao entendimento sustentado pela Fazenda Nacional.</w:t>
      </w:r>
      <w:r w:rsidRPr="0002253F">
        <w:rPr>
          <w:rFonts w:ascii="Arial" w:eastAsia="Arial" w:hAnsi="Arial" w:cs="Arial"/>
          <w:b/>
          <w:lang w:val="pt-BR"/>
        </w:rPr>
        <w:t xml:space="preserve"> </w:t>
      </w:r>
    </w:p>
    <w:p w14:paraId="7BC808D3" w14:textId="77777777" w:rsidR="00BC6E9B" w:rsidRPr="0002253F" w:rsidRDefault="00000000">
      <w:pPr>
        <w:spacing w:after="105"/>
        <w:ind w:left="142"/>
        <w:rPr>
          <w:lang w:val="pt-BR"/>
        </w:rPr>
      </w:pPr>
      <w:r w:rsidRPr="0002253F">
        <w:rPr>
          <w:rFonts w:ascii="Arial" w:eastAsia="Arial" w:hAnsi="Arial" w:cs="Arial"/>
          <w:b/>
          <w:lang w:val="pt-BR"/>
        </w:rPr>
        <w:t xml:space="preserve"> </w:t>
      </w:r>
    </w:p>
    <w:p w14:paraId="44076F2D" w14:textId="77777777" w:rsidR="00BC6E9B" w:rsidRPr="0002253F" w:rsidRDefault="00000000">
      <w:pPr>
        <w:pStyle w:val="Heading1"/>
        <w:ind w:left="149" w:right="2"/>
        <w:rPr>
          <w:lang w:val="pt-BR"/>
        </w:rPr>
      </w:pPr>
      <w:r w:rsidRPr="0002253F">
        <w:rPr>
          <w:lang w:val="pt-BR"/>
        </w:rPr>
        <w:t xml:space="preserve">II </w:t>
      </w:r>
    </w:p>
    <w:p w14:paraId="6C40FA2C" w14:textId="77777777" w:rsidR="00BC6E9B" w:rsidRPr="0002253F" w:rsidRDefault="00000000">
      <w:pPr>
        <w:spacing w:after="738" w:line="370" w:lineRule="auto"/>
        <w:ind w:left="137" w:hanging="10"/>
        <w:jc w:val="both"/>
        <w:rPr>
          <w:lang w:val="pt-BR"/>
        </w:rPr>
      </w:pPr>
      <w:r w:rsidRPr="0002253F">
        <w:rPr>
          <w:rFonts w:ascii="Arial" w:eastAsia="Arial" w:hAnsi="Arial" w:cs="Arial"/>
          <w:lang w:val="pt-BR"/>
        </w:rPr>
        <w:t>4. A tese defendida pela União em juízo aponta ofensa ao art. 6º, XIV, da Lei nº 7.713, de 1988</w:t>
      </w:r>
      <w:r>
        <w:rPr>
          <w:rFonts w:ascii="Arial" w:eastAsia="Arial" w:hAnsi="Arial" w:cs="Arial"/>
          <w:vertAlign w:val="superscript"/>
        </w:rPr>
        <w:footnoteReference w:id="2"/>
      </w:r>
      <w:r w:rsidRPr="0002253F">
        <w:rPr>
          <w:rFonts w:ascii="Arial" w:eastAsia="Arial" w:hAnsi="Arial" w:cs="Arial"/>
          <w:lang w:val="pt-BR"/>
        </w:rPr>
        <w:t>, ao art. 30, § 1º, da Lei nº 9.250, de 26 de dezembro de 1995</w:t>
      </w:r>
      <w:r>
        <w:rPr>
          <w:rFonts w:ascii="Arial" w:eastAsia="Arial" w:hAnsi="Arial" w:cs="Arial"/>
          <w:vertAlign w:val="superscript"/>
        </w:rPr>
        <w:footnoteReference w:id="3"/>
      </w:r>
      <w:r w:rsidRPr="0002253F">
        <w:rPr>
          <w:rFonts w:ascii="Arial" w:eastAsia="Arial" w:hAnsi="Arial" w:cs="Arial"/>
          <w:lang w:val="pt-BR"/>
        </w:rPr>
        <w:t>, ao art. 39, XXXIII e § 4º do Decreto nº 3.000, de 26 de março de 1999</w:t>
      </w:r>
      <w:r w:rsidRPr="0002253F">
        <w:rPr>
          <w:rFonts w:ascii="Arial" w:eastAsia="Arial" w:hAnsi="Arial" w:cs="Arial"/>
          <w:vertAlign w:val="superscript"/>
          <w:lang w:val="pt-BR"/>
        </w:rPr>
        <w:t>6</w:t>
      </w:r>
      <w:r w:rsidRPr="0002253F">
        <w:rPr>
          <w:rFonts w:ascii="Arial" w:eastAsia="Arial" w:hAnsi="Arial" w:cs="Arial"/>
          <w:lang w:val="pt-BR"/>
        </w:rPr>
        <w:t xml:space="preserve">, e ao art. 111, II, do Código </w:t>
      </w:r>
    </w:p>
    <w:p w14:paraId="13CA483F" w14:textId="77777777" w:rsidR="00BC6E9B" w:rsidRPr="0002253F" w:rsidRDefault="00000000">
      <w:pPr>
        <w:tabs>
          <w:tab w:val="center" w:pos="583"/>
        </w:tabs>
        <w:spacing w:after="0"/>
        <w:rPr>
          <w:lang w:val="pt-BR"/>
        </w:rPr>
      </w:pPr>
      <w:r w:rsidRPr="0002253F">
        <w:rPr>
          <w:rFonts w:ascii="Arial" w:eastAsia="Arial" w:hAnsi="Arial" w:cs="Arial"/>
          <w:sz w:val="12"/>
          <w:lang w:val="pt-BR"/>
        </w:rPr>
        <w:t>3</w:t>
      </w:r>
      <w:r w:rsidRPr="0002253F">
        <w:rPr>
          <w:rFonts w:ascii="Arial" w:eastAsia="Arial" w:hAnsi="Arial" w:cs="Arial"/>
          <w:sz w:val="12"/>
          <w:lang w:val="pt-BR"/>
        </w:rPr>
        <w:tab/>
      </w:r>
      <w:r w:rsidRPr="0002253F">
        <w:rPr>
          <w:rFonts w:ascii="Arial" w:eastAsia="Arial" w:hAnsi="Arial" w:cs="Arial"/>
          <w:sz w:val="12"/>
          <w:u w:val="single" w:color="000000"/>
          <w:lang w:val="pt-BR"/>
        </w:rPr>
        <w:t>o</w:t>
      </w:r>
    </w:p>
    <w:p w14:paraId="52425FD8" w14:textId="77777777" w:rsidR="00BC6E9B" w:rsidRPr="0002253F" w:rsidRDefault="00000000">
      <w:pPr>
        <w:spacing w:after="0" w:line="251" w:lineRule="auto"/>
        <w:ind w:left="142" w:right="3" w:firstLine="67"/>
        <w:jc w:val="both"/>
        <w:rPr>
          <w:lang w:val="pt-BR"/>
        </w:rPr>
      </w:pPr>
      <w:r w:rsidRPr="0002253F">
        <w:rPr>
          <w:rFonts w:ascii="Arial" w:eastAsia="Arial" w:hAnsi="Arial" w:cs="Arial"/>
          <w:sz w:val="18"/>
          <w:lang w:val="pt-BR"/>
        </w:rPr>
        <w:t xml:space="preserve"> § 4 A Secretaria da Receita Federal do Brasil não constituirá os créditos tributários relativos às matérias de que tratam os incisos II, IV e V do caput, após manifestação da Procuradoria-Geral da Fazenda Nacional nos casos dos incisos IV e V do caput. § 5</w:t>
      </w:r>
      <w:r w:rsidRPr="0002253F">
        <w:rPr>
          <w:rFonts w:ascii="Arial" w:eastAsia="Arial" w:hAnsi="Arial" w:cs="Arial"/>
          <w:sz w:val="18"/>
          <w:u w:val="single" w:color="000000"/>
          <w:vertAlign w:val="superscript"/>
          <w:lang w:val="pt-BR"/>
        </w:rPr>
        <w:t>o</w:t>
      </w:r>
      <w:r w:rsidRPr="0002253F">
        <w:rPr>
          <w:rFonts w:ascii="Arial" w:eastAsia="Arial" w:hAnsi="Arial" w:cs="Arial"/>
          <w:sz w:val="18"/>
          <w:lang w:val="pt-BR"/>
        </w:rPr>
        <w:t xml:space="preserve"> As unidades da Secretaria da Receita Federal do Brasil deverão reproduzir, em suas decisões sobre as matérias a que se refere o caput, o entendimento adotado nas decisões definitivas de mérito, que versem sobre essas matérias, após manifestação da Procuradoria-Geral da Fazenda Nacional nos </w:t>
      </w:r>
      <w:r w:rsidRPr="0002253F">
        <w:rPr>
          <w:rFonts w:ascii="Arial" w:eastAsia="Arial" w:hAnsi="Arial" w:cs="Arial"/>
          <w:sz w:val="18"/>
          <w:lang w:val="pt-BR"/>
        </w:rPr>
        <w:lastRenderedPageBreak/>
        <w:t>casos dos incisos IV e V do caput. § 6</w:t>
      </w:r>
      <w:r w:rsidRPr="0002253F">
        <w:rPr>
          <w:rFonts w:ascii="Arial" w:eastAsia="Arial" w:hAnsi="Arial" w:cs="Arial"/>
          <w:sz w:val="18"/>
          <w:u w:val="single" w:color="000000"/>
          <w:vertAlign w:val="superscript"/>
          <w:lang w:val="pt-BR"/>
        </w:rPr>
        <w:t>o</w:t>
      </w:r>
      <w:r w:rsidRPr="0002253F">
        <w:rPr>
          <w:rFonts w:ascii="Arial" w:eastAsia="Arial" w:hAnsi="Arial" w:cs="Arial"/>
          <w:sz w:val="18"/>
          <w:lang w:val="pt-BR"/>
        </w:rPr>
        <w:t xml:space="preserve"> - (VETADO). § 7</w:t>
      </w:r>
      <w:r w:rsidRPr="0002253F">
        <w:rPr>
          <w:rFonts w:ascii="Arial" w:eastAsia="Arial" w:hAnsi="Arial" w:cs="Arial"/>
          <w:sz w:val="18"/>
          <w:u w:val="single" w:color="000000"/>
          <w:vertAlign w:val="superscript"/>
          <w:lang w:val="pt-BR"/>
        </w:rPr>
        <w:t>o</w:t>
      </w:r>
      <w:r w:rsidRPr="0002253F">
        <w:rPr>
          <w:rFonts w:ascii="Arial" w:eastAsia="Arial" w:hAnsi="Arial" w:cs="Arial"/>
          <w:sz w:val="18"/>
          <w:lang w:val="pt-BR"/>
        </w:rPr>
        <w:t xml:space="preserve"> Na hipótese de créditos tributários já constituídos, a autoridade lançadora deverá rever de ofício o lançamento, para efeito de alterar total ou parcialmente o crédito tributário, conforme o caso, após manifestação da Procuradoria-Geral da Fazenda Nacional nos casos dos incisos IV e V do caput.  </w:t>
      </w:r>
    </w:p>
    <w:p w14:paraId="5763BBD5" w14:textId="77777777" w:rsidR="00BC6E9B" w:rsidRPr="0002253F" w:rsidRDefault="00000000">
      <w:pPr>
        <w:spacing w:after="3" w:line="370" w:lineRule="auto"/>
        <w:ind w:left="137" w:hanging="10"/>
        <w:jc w:val="both"/>
        <w:rPr>
          <w:lang w:val="pt-BR"/>
        </w:rPr>
      </w:pPr>
      <w:r w:rsidRPr="0002253F">
        <w:rPr>
          <w:rFonts w:ascii="Arial" w:eastAsia="Arial" w:hAnsi="Arial" w:cs="Arial"/>
          <w:lang w:val="pt-BR"/>
        </w:rPr>
        <w:t>Tributário Nacional</w:t>
      </w:r>
      <w:r>
        <w:rPr>
          <w:rFonts w:ascii="Arial" w:eastAsia="Arial" w:hAnsi="Arial" w:cs="Arial"/>
          <w:vertAlign w:val="superscript"/>
        </w:rPr>
        <w:footnoteReference w:id="4"/>
      </w:r>
      <w:r w:rsidRPr="0002253F">
        <w:rPr>
          <w:rFonts w:ascii="Arial" w:eastAsia="Arial" w:hAnsi="Arial" w:cs="Arial"/>
          <w:lang w:val="pt-BR"/>
        </w:rPr>
        <w:t xml:space="preserve">. Argumenta-se que, a partir da interpretação restritiva e literal da norma que outorga a isenção, somente fazem </w:t>
      </w:r>
      <w:r w:rsidRPr="0002253F">
        <w:rPr>
          <w:rFonts w:ascii="Arial" w:eastAsia="Arial" w:hAnsi="Arial" w:cs="Arial"/>
          <w:i/>
          <w:lang w:val="pt-BR"/>
        </w:rPr>
        <w:t>jus</w:t>
      </w:r>
      <w:r w:rsidRPr="0002253F">
        <w:rPr>
          <w:rFonts w:ascii="Arial" w:eastAsia="Arial" w:hAnsi="Arial" w:cs="Arial"/>
          <w:lang w:val="pt-BR"/>
        </w:rPr>
        <w:t xml:space="preserve"> ao benefício fiscal em questão os contribuintes efetivamente </w:t>
      </w:r>
      <w:r w:rsidRPr="0002253F">
        <w:rPr>
          <w:rFonts w:ascii="Arial" w:eastAsia="Arial" w:hAnsi="Arial" w:cs="Arial"/>
          <w:b/>
          <w:lang w:val="pt-BR"/>
        </w:rPr>
        <w:t>portadores</w:t>
      </w:r>
      <w:r w:rsidRPr="0002253F">
        <w:rPr>
          <w:rFonts w:ascii="Arial" w:eastAsia="Arial" w:hAnsi="Arial" w:cs="Arial"/>
          <w:lang w:val="pt-BR"/>
        </w:rPr>
        <w:t xml:space="preserve"> de moléstia grave devidamente comprovada por laudo médico emitido na forma da lei. Sendo assim, a constatação em laudo médico quanto à ausência de sintomas da enfermidade, a indiciar provável cura, justificaria a não concessão ou a revogação do benefício isencional. </w:t>
      </w:r>
    </w:p>
    <w:p w14:paraId="2829B678" w14:textId="77777777" w:rsidR="00BC6E9B" w:rsidRPr="0002253F" w:rsidRDefault="00000000">
      <w:pPr>
        <w:spacing w:after="0"/>
        <w:ind w:left="142"/>
        <w:rPr>
          <w:lang w:val="pt-BR"/>
        </w:rPr>
      </w:pPr>
      <w:r w:rsidRPr="0002253F">
        <w:rPr>
          <w:rFonts w:ascii="Arial" w:eastAsia="Arial" w:hAnsi="Arial" w:cs="Arial"/>
          <w:lang w:val="pt-BR"/>
        </w:rPr>
        <w:t xml:space="preserve"> </w:t>
      </w:r>
    </w:p>
    <w:p w14:paraId="6349D622" w14:textId="77777777" w:rsidR="00BC6E9B" w:rsidRPr="0002253F" w:rsidRDefault="00000000">
      <w:pPr>
        <w:numPr>
          <w:ilvl w:val="0"/>
          <w:numId w:val="2"/>
        </w:numPr>
        <w:spacing w:after="3" w:line="370" w:lineRule="auto"/>
        <w:ind w:hanging="10"/>
        <w:jc w:val="both"/>
        <w:rPr>
          <w:lang w:val="pt-BR"/>
        </w:rPr>
      </w:pPr>
      <w:r w:rsidRPr="0002253F">
        <w:rPr>
          <w:rFonts w:ascii="Arial" w:eastAsia="Arial" w:hAnsi="Arial" w:cs="Arial"/>
          <w:lang w:val="pt-BR"/>
        </w:rPr>
        <w:t xml:space="preserve">Não obstante, o STJ pacificou entendimento no sentido de que a isenção do Imposto de Renda sobre os proventos da aposentadoria ou reforma percebidos por portadores de moléstias graves, nos termos do art. 6º, inciso XIV, da Lei nº 7.713, de 1988, não exige a demonstração da contemporaneidade dos sintomas, nem a indicação de validade do laudo pericial ou a comprovação de recidiva da enfermidade, tendo em vista que a finalidade desse benefício é diminuir o sacrifícios dos beneficiários, aliviando-os dos encargos financeiros relativos ao acompanhamento médico e às medicações ministradas.  </w:t>
      </w:r>
    </w:p>
    <w:p w14:paraId="22A8CD91" w14:textId="77777777" w:rsidR="00BC6E9B" w:rsidRPr="0002253F" w:rsidRDefault="00000000">
      <w:pPr>
        <w:spacing w:after="0"/>
        <w:ind w:left="862"/>
        <w:rPr>
          <w:lang w:val="pt-BR"/>
        </w:rPr>
      </w:pPr>
      <w:r w:rsidRPr="0002253F">
        <w:rPr>
          <w:rFonts w:ascii="Arial" w:eastAsia="Arial" w:hAnsi="Arial" w:cs="Arial"/>
          <w:lang w:val="pt-BR"/>
        </w:rPr>
        <w:t xml:space="preserve"> </w:t>
      </w:r>
    </w:p>
    <w:p w14:paraId="40E2E6C7" w14:textId="77777777" w:rsidR="00BC6E9B" w:rsidRPr="0002253F" w:rsidRDefault="00000000">
      <w:pPr>
        <w:numPr>
          <w:ilvl w:val="0"/>
          <w:numId w:val="2"/>
        </w:numPr>
        <w:spacing w:after="3" w:line="370" w:lineRule="auto"/>
        <w:ind w:hanging="10"/>
        <w:jc w:val="both"/>
        <w:rPr>
          <w:lang w:val="pt-BR"/>
        </w:rPr>
      </w:pPr>
      <w:r w:rsidRPr="0002253F">
        <w:rPr>
          <w:rFonts w:ascii="Arial" w:eastAsia="Arial" w:hAnsi="Arial" w:cs="Arial"/>
          <w:lang w:val="pt-BR"/>
        </w:rPr>
        <w:t xml:space="preserve">Por oportuno, transcrevem-se os seguintes arestos oriundos do Egrégio STJ, </w:t>
      </w:r>
      <w:r w:rsidRPr="0002253F">
        <w:rPr>
          <w:rFonts w:ascii="Arial" w:eastAsia="Arial" w:hAnsi="Arial" w:cs="Arial"/>
          <w:i/>
          <w:lang w:val="pt-BR"/>
        </w:rPr>
        <w:t>in verbis</w:t>
      </w:r>
      <w:r w:rsidRPr="0002253F">
        <w:rPr>
          <w:rFonts w:ascii="Arial" w:eastAsia="Arial" w:hAnsi="Arial" w:cs="Arial"/>
          <w:lang w:val="pt-BR"/>
        </w:rPr>
        <w:t xml:space="preserve">: </w:t>
      </w:r>
    </w:p>
    <w:p w14:paraId="5BBC357C" w14:textId="77777777" w:rsidR="00BC6E9B" w:rsidRPr="0002253F" w:rsidRDefault="00000000">
      <w:pPr>
        <w:spacing w:after="0"/>
        <w:ind w:left="862"/>
        <w:rPr>
          <w:lang w:val="pt-BR"/>
        </w:rPr>
      </w:pPr>
      <w:r w:rsidRPr="0002253F">
        <w:rPr>
          <w:rFonts w:ascii="Arial" w:eastAsia="Arial" w:hAnsi="Arial" w:cs="Arial"/>
          <w:sz w:val="20"/>
          <w:lang w:val="pt-BR"/>
        </w:rPr>
        <w:t xml:space="preserve"> </w:t>
      </w:r>
    </w:p>
    <w:p w14:paraId="5E5CC40A" w14:textId="77777777" w:rsidR="00BC6E9B" w:rsidRPr="0002253F" w:rsidRDefault="00000000">
      <w:pPr>
        <w:spacing w:after="0"/>
        <w:ind w:left="862"/>
        <w:rPr>
          <w:lang w:val="pt-BR"/>
        </w:rPr>
      </w:pPr>
      <w:r w:rsidRPr="0002253F">
        <w:rPr>
          <w:rFonts w:ascii="Arial" w:eastAsia="Arial" w:hAnsi="Arial" w:cs="Arial"/>
          <w:sz w:val="20"/>
          <w:lang w:val="pt-BR"/>
        </w:rPr>
        <w:t xml:space="preserve"> </w:t>
      </w:r>
    </w:p>
    <w:p w14:paraId="27D9A65A" w14:textId="77777777" w:rsidR="00BC6E9B" w:rsidRPr="0002253F" w:rsidRDefault="00000000">
      <w:pPr>
        <w:spacing w:after="1"/>
        <w:ind w:left="1838" w:hanging="10"/>
        <w:rPr>
          <w:lang w:val="pt-BR"/>
        </w:rPr>
      </w:pPr>
      <w:r w:rsidRPr="0002253F">
        <w:rPr>
          <w:rFonts w:ascii="Arial" w:eastAsia="Arial" w:hAnsi="Arial" w:cs="Arial"/>
          <w:b/>
          <w:sz w:val="20"/>
          <w:u w:val="single" w:color="000000"/>
          <w:lang w:val="pt-BR"/>
        </w:rPr>
        <w:t>1ª Seção:</w:t>
      </w:r>
      <w:r w:rsidRPr="0002253F">
        <w:rPr>
          <w:rFonts w:ascii="Arial" w:eastAsia="Arial" w:hAnsi="Arial" w:cs="Arial"/>
          <w:b/>
          <w:sz w:val="20"/>
          <w:lang w:val="pt-BR"/>
        </w:rPr>
        <w:t xml:space="preserve"> </w:t>
      </w:r>
    </w:p>
    <w:p w14:paraId="63CF81B1"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2AAF4994"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21A68A49"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MANDADO DE SEGURANÇA. TRIBUTÁRIO. IMPOSTO DE RENDA. ISENÇÃO </w:t>
      </w:r>
    </w:p>
    <w:p w14:paraId="0D13CBFE"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COM BASE NO ART. 6º, XIV, DA LEI 7.713/1988.  NEOPLASIA MALIGNA. DEMONSTRAÇÃO DA CONTEMPORANEIDADE DOS SINTOMAS. </w:t>
      </w:r>
    </w:p>
    <w:p w14:paraId="4B858EF6" w14:textId="77777777" w:rsidR="00BC6E9B" w:rsidRDefault="00000000">
      <w:pPr>
        <w:spacing w:after="4" w:line="249" w:lineRule="auto"/>
        <w:ind w:left="1838" w:hanging="10"/>
        <w:jc w:val="both"/>
      </w:pPr>
      <w:r>
        <w:rPr>
          <w:rFonts w:ascii="Arial" w:eastAsia="Arial" w:hAnsi="Arial" w:cs="Arial"/>
          <w:sz w:val="20"/>
        </w:rPr>
        <w:t xml:space="preserve">DESNECESSIDADE. </w:t>
      </w:r>
    </w:p>
    <w:p w14:paraId="5DCA5C57" w14:textId="77777777" w:rsidR="00BC6E9B" w:rsidRDefault="00000000">
      <w:pPr>
        <w:numPr>
          <w:ilvl w:val="1"/>
          <w:numId w:val="2"/>
        </w:numPr>
        <w:spacing w:after="1" w:line="241" w:lineRule="auto"/>
        <w:ind w:hanging="221"/>
        <w:jc w:val="both"/>
      </w:pPr>
      <w:r w:rsidRPr="0002253F">
        <w:rPr>
          <w:rFonts w:ascii="Arial" w:eastAsia="Arial" w:hAnsi="Arial" w:cs="Arial"/>
          <w:b/>
          <w:sz w:val="20"/>
          <w:lang w:val="pt-BR"/>
        </w:rPr>
        <w:t>O entendimento jurisprudencial desta  Primeira Seção é no sentido de que, após a concessão da isenção do Imposto de Renda sobre os proventos de aposentadoria ou reforma percebidos por portadores de moléstias graves, nos termos art. 6º, inciso XIV, da Lei 7.713/88, o fato de a Junta Médica constatar a ausência de sintomas da doença pela provável cura não justifica a revogação do benefício isencional, tendo em vista que a finalidade desse benefício é diminuir o sacrifícios dos aposentados, aliviando-os dos encargos financeiros.</w:t>
      </w:r>
      <w:r w:rsidRPr="0002253F">
        <w:rPr>
          <w:rFonts w:ascii="Arial" w:eastAsia="Arial" w:hAnsi="Arial" w:cs="Arial"/>
          <w:sz w:val="20"/>
          <w:lang w:val="pt-BR"/>
        </w:rPr>
        <w:t xml:space="preserve"> </w:t>
      </w:r>
      <w:r>
        <w:rPr>
          <w:rFonts w:ascii="Arial" w:eastAsia="Arial" w:hAnsi="Arial" w:cs="Arial"/>
          <w:sz w:val="20"/>
        </w:rPr>
        <w:t xml:space="preserve">Precedentes: REsp 1125064 / DF, Segunda Turma, rel. Ministra Eliana Calmon, DJe 14/04/2010; REsp 967693 / DF, Segunda Turma, rel. Min. Humberto Martins, DJ 18/09/2007; REsp 734541 / SP, Primeira Turma, rel. Ministro Luiz Fux, DJ 20/02/2006; MS 15261 / DF, Primeira Seção, Rel. Min. </w:t>
      </w:r>
    </w:p>
    <w:p w14:paraId="374561CE"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Mauro Campbell Marques, julgado em 22.09.2010. </w:t>
      </w:r>
    </w:p>
    <w:p w14:paraId="7BC5DA66" w14:textId="77777777" w:rsidR="00BC6E9B" w:rsidRDefault="00000000">
      <w:pPr>
        <w:numPr>
          <w:ilvl w:val="1"/>
          <w:numId w:val="2"/>
        </w:numPr>
        <w:spacing w:after="4" w:line="249" w:lineRule="auto"/>
        <w:ind w:hanging="221"/>
        <w:jc w:val="both"/>
      </w:pPr>
      <w:r>
        <w:rPr>
          <w:rFonts w:ascii="Arial" w:eastAsia="Arial" w:hAnsi="Arial" w:cs="Arial"/>
          <w:sz w:val="20"/>
        </w:rPr>
        <w:t xml:space="preserve">Mandado de segurança concedido. </w:t>
      </w:r>
    </w:p>
    <w:p w14:paraId="70586E97" w14:textId="77777777" w:rsidR="00BC6E9B" w:rsidRDefault="00000000">
      <w:pPr>
        <w:spacing w:after="4" w:line="249" w:lineRule="auto"/>
        <w:ind w:left="1838" w:hanging="10"/>
        <w:jc w:val="both"/>
      </w:pPr>
      <w:r>
        <w:rPr>
          <w:rFonts w:ascii="Arial" w:eastAsia="Arial" w:hAnsi="Arial" w:cs="Arial"/>
          <w:sz w:val="20"/>
        </w:rPr>
        <w:t xml:space="preserve">(MS 21.706/DF, Rel. Ministro MAURO CAMPBELL MARQUES, PRIMEIRA </w:t>
      </w:r>
    </w:p>
    <w:p w14:paraId="0B979AA8"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lastRenderedPageBreak/>
        <w:t xml:space="preserve">SEÇÃO, julgado em 23/09/2015, DJe 30/09/2015) </w:t>
      </w:r>
    </w:p>
    <w:p w14:paraId="5214E5FD"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06C7F547"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40195A84"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27B25CDC"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00A134C6" w14:textId="77777777" w:rsidR="00BC6E9B" w:rsidRDefault="00000000">
      <w:pPr>
        <w:spacing w:after="4" w:line="249" w:lineRule="auto"/>
        <w:ind w:left="1838" w:hanging="10"/>
        <w:jc w:val="both"/>
      </w:pPr>
      <w:r w:rsidRPr="0002253F">
        <w:rPr>
          <w:rFonts w:ascii="Arial" w:eastAsia="Arial" w:hAnsi="Arial" w:cs="Arial"/>
          <w:sz w:val="20"/>
          <w:lang w:val="pt-BR"/>
        </w:rPr>
        <w:t xml:space="preserve">TRIBUTÁRIO. ISENÇÃO DO IMPOSTO DE RENDA SOBRE PROVENTOS DE REFORMA DE PORTADOR DE NEOPLASIA MALIGNA. </w:t>
      </w:r>
      <w:r>
        <w:rPr>
          <w:rFonts w:ascii="Arial" w:eastAsia="Arial" w:hAnsi="Arial" w:cs="Arial"/>
          <w:sz w:val="20"/>
        </w:rPr>
        <w:t xml:space="preserve">DEMONSTRAÇÃO DA CONTEMPORANEIDADE DOS SINTOMAS. DESNECESSIDADE. </w:t>
      </w:r>
    </w:p>
    <w:p w14:paraId="43724308" w14:textId="77777777" w:rsidR="00BC6E9B" w:rsidRDefault="00000000">
      <w:pPr>
        <w:spacing w:after="4" w:line="249" w:lineRule="auto"/>
        <w:ind w:left="1838" w:hanging="10"/>
        <w:jc w:val="both"/>
      </w:pPr>
      <w:r>
        <w:rPr>
          <w:rFonts w:ascii="Arial" w:eastAsia="Arial" w:hAnsi="Arial" w:cs="Arial"/>
          <w:sz w:val="20"/>
        </w:rPr>
        <w:t xml:space="preserve">(...) </w:t>
      </w:r>
    </w:p>
    <w:p w14:paraId="11825F1B" w14:textId="77777777" w:rsidR="00BC6E9B" w:rsidRPr="0002253F" w:rsidRDefault="00000000">
      <w:pPr>
        <w:numPr>
          <w:ilvl w:val="1"/>
          <w:numId w:val="2"/>
        </w:numPr>
        <w:spacing w:after="1" w:line="241" w:lineRule="auto"/>
        <w:ind w:hanging="221"/>
        <w:jc w:val="both"/>
        <w:rPr>
          <w:lang w:val="pt-BR"/>
        </w:rPr>
      </w:pPr>
      <w:r w:rsidRPr="0002253F">
        <w:rPr>
          <w:rFonts w:ascii="Arial" w:eastAsia="Arial" w:hAnsi="Arial" w:cs="Arial"/>
          <w:b/>
          <w:sz w:val="20"/>
          <w:lang w:val="pt-BR"/>
        </w:rPr>
        <w:t xml:space="preserve">Há entendimento jurisprudencial desta  Primeira Seção no sentido de que, após a concessão da isenção do Imposto de Renda sobre os proventos de aposentadoria ou reforma percebidos por portadores de moléstias graves, nos termos art. 6º, inciso XIV, da Lei 7.713/88, o fato de a Junta Médica constatar a ausência de sintomas da doença pela provável cura não justifica a revogação do benefício isencional, tendo em vista que a finalidade desse benefício é diminuir o sacrifícios dos aposentados, aliviando-os dos encargos financeiros. </w:t>
      </w:r>
    </w:p>
    <w:p w14:paraId="51873B8A" w14:textId="77777777" w:rsidR="00BC6E9B" w:rsidRPr="0002253F" w:rsidRDefault="00000000">
      <w:pPr>
        <w:numPr>
          <w:ilvl w:val="1"/>
          <w:numId w:val="2"/>
        </w:numPr>
        <w:spacing w:after="4" w:line="249" w:lineRule="auto"/>
        <w:ind w:hanging="221"/>
        <w:jc w:val="both"/>
        <w:rPr>
          <w:lang w:val="pt-BR"/>
        </w:rPr>
      </w:pPr>
      <w:r w:rsidRPr="0002253F">
        <w:rPr>
          <w:rFonts w:ascii="Arial" w:eastAsia="Arial" w:hAnsi="Arial" w:cs="Arial"/>
          <w:sz w:val="20"/>
          <w:lang w:val="pt-BR"/>
        </w:rPr>
        <w:t xml:space="preserve">Em conformidade com o § 4º do 14 da Lei 12.016/2009 e as Súmulas 269 e 271 do STF, não procede o pleito de devolução dos valores descontados a título de Imposto de Renda. </w:t>
      </w:r>
    </w:p>
    <w:p w14:paraId="4C0407D5" w14:textId="77777777" w:rsidR="00BC6E9B" w:rsidRPr="0002253F" w:rsidRDefault="00000000">
      <w:pPr>
        <w:numPr>
          <w:ilvl w:val="1"/>
          <w:numId w:val="2"/>
        </w:numPr>
        <w:spacing w:after="4" w:line="249" w:lineRule="auto"/>
        <w:ind w:hanging="221"/>
        <w:jc w:val="both"/>
        <w:rPr>
          <w:lang w:val="pt-BR"/>
        </w:rPr>
      </w:pPr>
      <w:r w:rsidRPr="0002253F">
        <w:rPr>
          <w:rFonts w:ascii="Arial" w:eastAsia="Arial" w:hAnsi="Arial" w:cs="Arial"/>
          <w:sz w:val="20"/>
          <w:lang w:val="pt-BR"/>
        </w:rPr>
        <w:t xml:space="preserve">Mandado de segurança parcialmente concedido. </w:t>
      </w:r>
    </w:p>
    <w:p w14:paraId="51AD4308" w14:textId="77777777" w:rsidR="00BC6E9B" w:rsidRDefault="00000000">
      <w:pPr>
        <w:spacing w:after="4" w:line="249" w:lineRule="auto"/>
        <w:ind w:left="1838" w:hanging="10"/>
        <w:jc w:val="both"/>
      </w:pPr>
      <w:r>
        <w:rPr>
          <w:rFonts w:ascii="Arial" w:eastAsia="Arial" w:hAnsi="Arial" w:cs="Arial"/>
          <w:sz w:val="20"/>
        </w:rPr>
        <w:t xml:space="preserve">(MS 15.261/DF, Rel. Ministro MAURO CAMPBELL MARQUES, PRIMEIRA </w:t>
      </w:r>
    </w:p>
    <w:p w14:paraId="7EF15CC6"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SEÇÃO, julgado em 22/09/2010, DJe 05/10/2010) </w:t>
      </w:r>
    </w:p>
    <w:p w14:paraId="0C811417"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4EEC6915" w14:textId="77777777" w:rsidR="00BC6E9B" w:rsidRPr="0002253F" w:rsidRDefault="00000000">
      <w:pPr>
        <w:spacing w:after="0"/>
        <w:ind w:left="1843"/>
        <w:rPr>
          <w:lang w:val="pt-BR"/>
        </w:rPr>
      </w:pPr>
      <w:r w:rsidRPr="0002253F">
        <w:rPr>
          <w:rFonts w:ascii="Arial" w:eastAsia="Arial" w:hAnsi="Arial" w:cs="Arial"/>
          <w:b/>
          <w:sz w:val="20"/>
          <w:lang w:val="pt-BR"/>
        </w:rPr>
        <w:t xml:space="preserve"> </w:t>
      </w:r>
    </w:p>
    <w:p w14:paraId="5E882358" w14:textId="77777777" w:rsidR="00BC6E9B" w:rsidRPr="0002253F" w:rsidRDefault="00000000">
      <w:pPr>
        <w:spacing w:after="1"/>
        <w:ind w:left="1838" w:hanging="10"/>
        <w:rPr>
          <w:lang w:val="pt-BR"/>
        </w:rPr>
      </w:pPr>
      <w:r w:rsidRPr="0002253F">
        <w:rPr>
          <w:rFonts w:ascii="Arial" w:eastAsia="Arial" w:hAnsi="Arial" w:cs="Arial"/>
          <w:b/>
          <w:sz w:val="20"/>
          <w:u w:val="single" w:color="000000"/>
          <w:lang w:val="pt-BR"/>
        </w:rPr>
        <w:t>Primeira Turma:</w:t>
      </w:r>
      <w:r w:rsidRPr="0002253F">
        <w:rPr>
          <w:rFonts w:ascii="Arial" w:eastAsia="Arial" w:hAnsi="Arial" w:cs="Arial"/>
          <w:b/>
          <w:sz w:val="20"/>
          <w:lang w:val="pt-BR"/>
        </w:rPr>
        <w:t xml:space="preserve"> </w:t>
      </w:r>
    </w:p>
    <w:p w14:paraId="27C0C335"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290D92BC"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08C2FEE8" w14:textId="77777777" w:rsidR="00BC6E9B" w:rsidRDefault="00000000">
      <w:pPr>
        <w:spacing w:after="4" w:line="249" w:lineRule="auto"/>
        <w:ind w:left="1838" w:hanging="10"/>
        <w:jc w:val="both"/>
      </w:pPr>
      <w:r w:rsidRPr="0002253F">
        <w:rPr>
          <w:rFonts w:ascii="Arial" w:eastAsia="Arial" w:hAnsi="Arial" w:cs="Arial"/>
          <w:sz w:val="20"/>
          <w:lang w:val="pt-BR"/>
        </w:rPr>
        <w:t xml:space="preserve">TRIBUTÁRIO E PROCESSUAL CIVIL. ISENÇÃO DE IMPOSTO DE RENDA. REVISÃO DO BENEFÍCIO. PORTADOR DE NEOPLASIA MALIGNA. CONTEMPORANEIDADE DOS SINTOMAS. DESNECESSIDADE. LAUDO PERICIAL.  SERVIÇO MÉDICO OFICIAL. PRESCINDIBILIDADE. </w:t>
      </w:r>
      <w:r>
        <w:rPr>
          <w:rFonts w:ascii="Arial" w:eastAsia="Arial" w:hAnsi="Arial" w:cs="Arial"/>
          <w:sz w:val="20"/>
        </w:rPr>
        <w:t xml:space="preserve">LIVRE CONVICÇÃO MOTIVADA DO MAGISTRADO. </w:t>
      </w:r>
    </w:p>
    <w:p w14:paraId="3BB9BE22" w14:textId="77777777" w:rsidR="00BC6E9B" w:rsidRDefault="00000000">
      <w:pPr>
        <w:numPr>
          <w:ilvl w:val="0"/>
          <w:numId w:val="3"/>
        </w:numPr>
        <w:spacing w:after="1" w:line="241" w:lineRule="auto"/>
        <w:ind w:hanging="221"/>
        <w:jc w:val="both"/>
      </w:pPr>
      <w:r w:rsidRPr="0002253F">
        <w:rPr>
          <w:rFonts w:ascii="Arial" w:eastAsia="Arial" w:hAnsi="Arial" w:cs="Arial"/>
          <w:b/>
          <w:sz w:val="20"/>
          <w:lang w:val="pt-BR"/>
        </w:rPr>
        <w:t>A jurisprudência desta Corte firmou-se no sentido de que "após a concessão da isenção do Imposto de Renda sobre os proventos de aposentadoria ou reforma percebidos por portadores de moléstias graves, nos termos art. 6º, inciso XIV, da Lei 7.713/88, o fato de a Junta Médica constatar a ausência de sintomas da doença não justifica a revogação do benefício isencional, tendo em vista que a finalidade desse benefício é diminuir o sacrifícios dos aposentados, aliviando-os dos encargos financeiros.</w:t>
      </w:r>
      <w:r w:rsidRPr="0002253F">
        <w:rPr>
          <w:rFonts w:ascii="Arial" w:eastAsia="Arial" w:hAnsi="Arial" w:cs="Arial"/>
          <w:sz w:val="20"/>
          <w:lang w:val="pt-BR"/>
        </w:rPr>
        <w:t xml:space="preserve">" </w:t>
      </w:r>
      <w:r>
        <w:rPr>
          <w:rFonts w:ascii="Arial" w:eastAsia="Arial" w:hAnsi="Arial" w:cs="Arial"/>
          <w:sz w:val="20"/>
        </w:rPr>
        <w:t xml:space="preserve">(REsp 1.202.820/RS, Rel. Ministro Mauro Campbell Marques, Segunda Turma, DJe 15/10/2010). No mesmo sentido: MS 15.261/DF, Rel. Ministro Mauro Campbell Marques, Primeira Seção, DJe 05/10/2010, REsp 1.088.379/DF, Rel. Ministro Francisco Falcão, Primeira Turma, DJe 29/10/2008. </w:t>
      </w:r>
    </w:p>
    <w:p w14:paraId="5FBFEC80" w14:textId="77777777" w:rsidR="00BC6E9B" w:rsidRDefault="00000000">
      <w:pPr>
        <w:numPr>
          <w:ilvl w:val="0"/>
          <w:numId w:val="3"/>
        </w:numPr>
        <w:spacing w:after="4" w:line="249" w:lineRule="auto"/>
        <w:ind w:hanging="221"/>
        <w:jc w:val="both"/>
      </w:pPr>
      <w:r w:rsidRPr="0002253F">
        <w:rPr>
          <w:rFonts w:ascii="Arial" w:eastAsia="Arial" w:hAnsi="Arial" w:cs="Arial"/>
          <w:sz w:val="20"/>
          <w:lang w:val="pt-BR"/>
        </w:rPr>
        <w:t xml:space="preserve">O magistrado não está vinculado aos laudos médicos oficiais, podendo decidir o feito de acordo com outras provas juntadas aos autos, sendo livre seu convencimento. </w:t>
      </w:r>
      <w:r>
        <w:rPr>
          <w:rFonts w:ascii="Arial" w:eastAsia="Arial" w:hAnsi="Arial" w:cs="Arial"/>
          <w:sz w:val="20"/>
        </w:rPr>
        <w:t xml:space="preserve">Precedentes:  AgRg no AREsp 276.420/SE, Rel. Ministro Arnaldo Esteves Lima, Primeira Turma, DJe 15/04/2013; AgRg no AREsp 263.157/PE, Rel. Ministra Eliana Calmon, Segunda Turma, DJe 14/08/2013. </w:t>
      </w:r>
    </w:p>
    <w:p w14:paraId="60E0D5A5" w14:textId="77777777" w:rsidR="00BC6E9B" w:rsidRPr="0002253F" w:rsidRDefault="00000000">
      <w:pPr>
        <w:numPr>
          <w:ilvl w:val="0"/>
          <w:numId w:val="3"/>
        </w:numPr>
        <w:spacing w:after="4" w:line="249" w:lineRule="auto"/>
        <w:ind w:hanging="221"/>
        <w:jc w:val="both"/>
        <w:rPr>
          <w:lang w:val="pt-BR"/>
        </w:rPr>
      </w:pPr>
      <w:r w:rsidRPr="0002253F">
        <w:rPr>
          <w:rFonts w:ascii="Arial" w:eastAsia="Arial" w:hAnsi="Arial" w:cs="Arial"/>
          <w:sz w:val="20"/>
          <w:lang w:val="pt-BR"/>
        </w:rPr>
        <w:t xml:space="preserve">No caso, ficou consignado que a parte agravada é portadora de neoplasia maligna, que, muito embora tenha existido cirurgia que extirpou lesões decorrentes da enfermidade, ainda necessita de acompanhamento contínuo, em razão da existência de outras áreas afetadas pela doença. </w:t>
      </w:r>
    </w:p>
    <w:p w14:paraId="2C711168" w14:textId="77777777" w:rsidR="00BC6E9B" w:rsidRPr="0002253F" w:rsidRDefault="00000000">
      <w:pPr>
        <w:numPr>
          <w:ilvl w:val="0"/>
          <w:numId w:val="3"/>
        </w:numPr>
        <w:spacing w:after="4" w:line="249" w:lineRule="auto"/>
        <w:ind w:hanging="221"/>
        <w:jc w:val="both"/>
        <w:rPr>
          <w:lang w:val="pt-BR"/>
        </w:rPr>
      </w:pPr>
      <w:r w:rsidRPr="0002253F">
        <w:rPr>
          <w:rFonts w:ascii="Arial" w:eastAsia="Arial" w:hAnsi="Arial" w:cs="Arial"/>
          <w:sz w:val="20"/>
          <w:lang w:val="pt-BR"/>
        </w:rPr>
        <w:t xml:space="preserve">Agravo regimental a que se nega provimento. </w:t>
      </w:r>
    </w:p>
    <w:p w14:paraId="08B57CEE" w14:textId="77777777" w:rsidR="00BC6E9B" w:rsidRDefault="00000000">
      <w:pPr>
        <w:spacing w:after="4" w:line="249" w:lineRule="auto"/>
        <w:ind w:left="1838" w:hanging="10"/>
        <w:jc w:val="both"/>
      </w:pPr>
      <w:r>
        <w:rPr>
          <w:rFonts w:ascii="Arial" w:eastAsia="Arial" w:hAnsi="Arial" w:cs="Arial"/>
          <w:sz w:val="20"/>
        </w:rPr>
        <w:lastRenderedPageBreak/>
        <w:t xml:space="preserve">(AgRg no AREsp 371.436/MS, Rel. Ministro SÉRGIO KUKINA, PRIMEIRA </w:t>
      </w:r>
    </w:p>
    <w:p w14:paraId="35866824"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TURMA, julgado em 03/04/2014, DJe 11/04/2014) </w:t>
      </w:r>
    </w:p>
    <w:p w14:paraId="0055F0F8"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7C09FCEF" w14:textId="77777777" w:rsidR="00BC6E9B" w:rsidRPr="0002253F" w:rsidRDefault="00000000">
      <w:pPr>
        <w:spacing w:after="0"/>
        <w:ind w:left="1893"/>
        <w:jc w:val="center"/>
        <w:rPr>
          <w:lang w:val="pt-BR"/>
        </w:rPr>
      </w:pPr>
      <w:r w:rsidRPr="0002253F">
        <w:rPr>
          <w:rFonts w:ascii="Arial" w:eastAsia="Arial" w:hAnsi="Arial" w:cs="Arial"/>
          <w:sz w:val="20"/>
          <w:lang w:val="pt-BR"/>
        </w:rPr>
        <w:t xml:space="preserve"> </w:t>
      </w:r>
    </w:p>
    <w:p w14:paraId="2639486D" w14:textId="77777777" w:rsidR="00BC6E9B" w:rsidRPr="0002253F" w:rsidRDefault="00000000">
      <w:pPr>
        <w:spacing w:after="0"/>
        <w:ind w:left="1879" w:right="31" w:hanging="10"/>
        <w:jc w:val="center"/>
        <w:rPr>
          <w:lang w:val="pt-BR"/>
        </w:rPr>
      </w:pPr>
      <w:r w:rsidRPr="0002253F">
        <w:rPr>
          <w:rFonts w:ascii="Arial" w:eastAsia="Arial" w:hAnsi="Arial" w:cs="Arial"/>
          <w:sz w:val="20"/>
          <w:lang w:val="pt-BR"/>
        </w:rPr>
        <w:t xml:space="preserve">*** </w:t>
      </w:r>
    </w:p>
    <w:p w14:paraId="7E9C392A"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4A49E99B" w14:textId="77777777" w:rsidR="00BC6E9B" w:rsidRDefault="00000000">
      <w:pPr>
        <w:spacing w:after="4" w:line="249" w:lineRule="auto"/>
        <w:ind w:left="1838" w:hanging="10"/>
        <w:jc w:val="both"/>
      </w:pPr>
      <w:r w:rsidRPr="0002253F">
        <w:rPr>
          <w:rFonts w:ascii="Arial" w:eastAsia="Arial" w:hAnsi="Arial" w:cs="Arial"/>
          <w:sz w:val="20"/>
          <w:lang w:val="pt-BR"/>
        </w:rPr>
        <w:t xml:space="preserve">TRIBUTÁRIO. AGRAVO REGIMENTAL NO AGRAVO EM RECURSO ESPECIAL. IMPOSTO DE RENDA. NEOPLASIA MALIGNA. </w:t>
      </w:r>
      <w:r>
        <w:rPr>
          <w:rFonts w:ascii="Arial" w:eastAsia="Arial" w:hAnsi="Arial" w:cs="Arial"/>
          <w:sz w:val="20"/>
        </w:rPr>
        <w:t xml:space="preserve">CONTEMPORANEIDADE DOS SINTOMAS. DESNECESSIDADE. ISENÇÃO. AGRAVO NÃO PROVIDO. </w:t>
      </w:r>
    </w:p>
    <w:p w14:paraId="1093C823" w14:textId="77777777" w:rsidR="00BC6E9B" w:rsidRDefault="00000000">
      <w:pPr>
        <w:numPr>
          <w:ilvl w:val="0"/>
          <w:numId w:val="4"/>
        </w:numPr>
        <w:spacing w:after="1" w:line="241" w:lineRule="auto"/>
        <w:ind w:right="-3" w:hanging="221"/>
        <w:jc w:val="both"/>
      </w:pPr>
      <w:r w:rsidRPr="0002253F">
        <w:rPr>
          <w:rFonts w:ascii="Arial" w:eastAsia="Arial" w:hAnsi="Arial" w:cs="Arial"/>
          <w:b/>
          <w:sz w:val="20"/>
          <w:lang w:val="pt-BR"/>
        </w:rPr>
        <w:t>"Reconhecida a neoplasia maligna, não se exige a demonstração da contemporaneidade dos sintomas, nem a indicação de validade do laudo pericial, ou a comprovação de recidiva da enfermidade, para que o contribuinte faça jus à isenção de Imposto de Renda prevista no art. 6º, inciso XIV, da Lei 7.713/88"</w:t>
      </w:r>
      <w:r w:rsidRPr="0002253F">
        <w:rPr>
          <w:rFonts w:ascii="Arial" w:eastAsia="Arial" w:hAnsi="Arial" w:cs="Arial"/>
          <w:sz w:val="20"/>
          <w:lang w:val="pt-BR"/>
        </w:rPr>
        <w:t xml:space="preserve"> (REsp 1.125.064/DF, Rel. </w:t>
      </w:r>
      <w:r>
        <w:rPr>
          <w:rFonts w:ascii="Arial" w:eastAsia="Arial" w:hAnsi="Arial" w:cs="Arial"/>
          <w:sz w:val="20"/>
        </w:rPr>
        <w:t xml:space="preserve">Ministra ELIANA CALMON, Segunda Turma, DJe 14/04/10). </w:t>
      </w:r>
    </w:p>
    <w:p w14:paraId="10719E9D" w14:textId="77777777" w:rsidR="00BC6E9B" w:rsidRDefault="00000000">
      <w:pPr>
        <w:numPr>
          <w:ilvl w:val="0"/>
          <w:numId w:val="4"/>
        </w:numPr>
        <w:spacing w:after="4" w:line="249" w:lineRule="auto"/>
        <w:ind w:right="-3" w:hanging="221"/>
        <w:jc w:val="both"/>
      </w:pPr>
      <w:r>
        <w:rPr>
          <w:rFonts w:ascii="Arial" w:eastAsia="Arial" w:hAnsi="Arial" w:cs="Arial"/>
          <w:sz w:val="20"/>
        </w:rPr>
        <w:t xml:space="preserve">Agravo regimental não provido. </w:t>
      </w:r>
    </w:p>
    <w:p w14:paraId="71DEB3D7" w14:textId="77777777" w:rsidR="00BC6E9B" w:rsidRDefault="00000000">
      <w:pPr>
        <w:spacing w:after="4" w:line="249" w:lineRule="auto"/>
        <w:ind w:left="1838" w:hanging="10"/>
        <w:jc w:val="both"/>
      </w:pPr>
      <w:r>
        <w:rPr>
          <w:rFonts w:ascii="Arial" w:eastAsia="Arial" w:hAnsi="Arial" w:cs="Arial"/>
          <w:sz w:val="20"/>
        </w:rPr>
        <w:t xml:space="preserve">(AgRg no AREsp 436.073/RS, Rel. Ministro ARNALDO ESTEVES LIMA, PRIMEIRA TURMA, julgado em 17/12/2013, DJe 06/02/2014) </w:t>
      </w:r>
    </w:p>
    <w:p w14:paraId="07A631E6" w14:textId="77777777" w:rsidR="00BC6E9B" w:rsidRDefault="00000000">
      <w:pPr>
        <w:spacing w:after="0"/>
        <w:ind w:left="1893"/>
        <w:jc w:val="center"/>
      </w:pPr>
      <w:r>
        <w:rPr>
          <w:rFonts w:ascii="Arial" w:eastAsia="Arial" w:hAnsi="Arial" w:cs="Arial"/>
          <w:sz w:val="20"/>
        </w:rPr>
        <w:t xml:space="preserve"> </w:t>
      </w:r>
    </w:p>
    <w:p w14:paraId="0DD50286" w14:textId="77777777" w:rsidR="00BC6E9B" w:rsidRPr="0002253F" w:rsidRDefault="00000000">
      <w:pPr>
        <w:spacing w:after="0"/>
        <w:ind w:left="1879" w:right="31" w:hanging="10"/>
        <w:jc w:val="center"/>
        <w:rPr>
          <w:lang w:val="pt-BR"/>
        </w:rPr>
      </w:pPr>
      <w:r w:rsidRPr="0002253F">
        <w:rPr>
          <w:rFonts w:ascii="Arial" w:eastAsia="Arial" w:hAnsi="Arial" w:cs="Arial"/>
          <w:sz w:val="20"/>
          <w:lang w:val="pt-BR"/>
        </w:rPr>
        <w:t xml:space="preserve">*** </w:t>
      </w:r>
    </w:p>
    <w:p w14:paraId="3FCE8A79" w14:textId="77777777" w:rsidR="00BC6E9B" w:rsidRPr="0002253F" w:rsidRDefault="00000000">
      <w:pPr>
        <w:spacing w:after="0"/>
        <w:ind w:left="1893"/>
        <w:jc w:val="center"/>
        <w:rPr>
          <w:lang w:val="pt-BR"/>
        </w:rPr>
      </w:pPr>
      <w:r w:rsidRPr="0002253F">
        <w:rPr>
          <w:rFonts w:ascii="Arial" w:eastAsia="Arial" w:hAnsi="Arial" w:cs="Arial"/>
          <w:sz w:val="20"/>
          <w:lang w:val="pt-BR"/>
        </w:rPr>
        <w:t xml:space="preserve"> </w:t>
      </w:r>
    </w:p>
    <w:p w14:paraId="71A31BD8"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TRIBUTÁRIO. RECURSO ESPECIAL. IMPOSTO DE RENDA. ISENÇÃO. INCIDÊNCIA DO ART. 6º, XIV, DA LEI 7.713/1988. NEOPLASIA MALIGNA. DEMONSTRAÇÃO DA CONTEMPORANEIDADE DOS SINTOMAS. </w:t>
      </w:r>
    </w:p>
    <w:p w14:paraId="19703025"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DESNECESSIDADE. PRECEDENTES. </w:t>
      </w:r>
    </w:p>
    <w:p w14:paraId="7FF3CCE3" w14:textId="77777777" w:rsidR="00BC6E9B" w:rsidRDefault="00000000">
      <w:pPr>
        <w:spacing w:after="4" w:line="249" w:lineRule="auto"/>
        <w:ind w:left="1838" w:hanging="10"/>
        <w:jc w:val="both"/>
      </w:pPr>
      <w:r w:rsidRPr="0002253F">
        <w:rPr>
          <w:rFonts w:ascii="Arial" w:eastAsia="Arial" w:hAnsi="Arial" w:cs="Arial"/>
          <w:sz w:val="20"/>
          <w:lang w:val="pt-BR"/>
        </w:rPr>
        <w:t xml:space="preserve">PRESCRIÇÃO. ARTIGO 3º DA LC 118/2005. DETERMINAÇÃO DE APLICAÇÃO RETROATIVA. DIREITO INTERTEMPORAL. FATOS GERADORES ANTERIORES À LC 118/2005. APLICAÇÃO DA TESE DOS "CINCO MAIS CINCO". </w:t>
      </w:r>
      <w:r>
        <w:rPr>
          <w:rFonts w:ascii="Arial" w:eastAsia="Arial" w:hAnsi="Arial" w:cs="Arial"/>
          <w:sz w:val="20"/>
        </w:rPr>
        <w:t xml:space="preserve">RECURSO ESPECIAL REPETITIVO 1.002.932-SP (ART. 543-C DO CPC) </w:t>
      </w:r>
    </w:p>
    <w:p w14:paraId="47080B50" w14:textId="77777777" w:rsidR="00BC6E9B" w:rsidRPr="0002253F" w:rsidRDefault="00000000">
      <w:pPr>
        <w:numPr>
          <w:ilvl w:val="0"/>
          <w:numId w:val="5"/>
        </w:numPr>
        <w:spacing w:after="4" w:line="249" w:lineRule="auto"/>
        <w:ind w:hanging="10"/>
        <w:jc w:val="both"/>
        <w:rPr>
          <w:lang w:val="pt-BR"/>
        </w:rPr>
      </w:pPr>
      <w:r w:rsidRPr="0002253F">
        <w:rPr>
          <w:rFonts w:ascii="Arial" w:eastAsia="Arial" w:hAnsi="Arial" w:cs="Arial"/>
          <w:sz w:val="20"/>
          <w:lang w:val="pt-BR"/>
        </w:rPr>
        <w:t xml:space="preserve">Hipótese em que se analisa, para os efeitos de isenção do imposto de renda previsto no art. 6º, XIV, da Lei 7.713/88, a necessidade ou não da contemporaneidade dos sintomas de neoplasia maligna do autor, militar reformado do Exército, que se submeteu à retirada da lesão cancerígena. </w:t>
      </w:r>
    </w:p>
    <w:p w14:paraId="1AA6D6CE" w14:textId="77777777" w:rsidR="00BC6E9B" w:rsidRPr="0002253F" w:rsidRDefault="00000000">
      <w:pPr>
        <w:numPr>
          <w:ilvl w:val="0"/>
          <w:numId w:val="5"/>
        </w:numPr>
        <w:spacing w:after="4" w:line="249" w:lineRule="auto"/>
        <w:ind w:hanging="10"/>
        <w:jc w:val="both"/>
        <w:rPr>
          <w:lang w:val="pt-BR"/>
        </w:rPr>
      </w:pPr>
      <w:r w:rsidRPr="0002253F">
        <w:rPr>
          <w:rFonts w:ascii="Arial" w:eastAsia="Arial" w:hAnsi="Arial" w:cs="Arial"/>
          <w:sz w:val="20"/>
          <w:lang w:val="pt-BR"/>
        </w:rPr>
        <w:t xml:space="preserve">O Tribunal de origem, mantendo incólume a sentença, afastou o reconhecimento do direito à isenção do imposto de renda, por estar o autor curado da neoplasia maligna, por não necessitar de tratamento coadjuvante em razão da doença, e em face da perspectiva de recidiva do tumor ser muito baixa. </w:t>
      </w:r>
    </w:p>
    <w:p w14:paraId="0D8B4F0B" w14:textId="77777777" w:rsidR="00BC6E9B" w:rsidRPr="0002253F" w:rsidRDefault="00000000">
      <w:pPr>
        <w:numPr>
          <w:ilvl w:val="0"/>
          <w:numId w:val="5"/>
        </w:numPr>
        <w:spacing w:after="4" w:line="249" w:lineRule="auto"/>
        <w:ind w:hanging="10"/>
        <w:jc w:val="both"/>
        <w:rPr>
          <w:lang w:val="pt-BR"/>
        </w:rPr>
      </w:pPr>
      <w:r w:rsidRPr="0002253F">
        <w:rPr>
          <w:rFonts w:ascii="Arial" w:eastAsia="Arial" w:hAnsi="Arial" w:cs="Arial"/>
          <w:sz w:val="20"/>
          <w:lang w:val="pt-BR"/>
        </w:rPr>
        <w:t xml:space="preserve">O recorrente argumenta que o laudo emitido pela Junta de Inspeção Médica não representa instrumento hábil a permitir a cassação da isenção de IR ao requerente, e, portanto, não pode ser considerado, em face do art. 6º, XIV, da Lei 7.713/88. Quanto ao prazo prescricional, requer a prevalência da tese dos "cinco mais cinco". </w:t>
      </w:r>
    </w:p>
    <w:p w14:paraId="346400EF" w14:textId="77777777" w:rsidR="00BC6E9B" w:rsidRDefault="00000000">
      <w:pPr>
        <w:numPr>
          <w:ilvl w:val="0"/>
          <w:numId w:val="5"/>
        </w:numPr>
        <w:spacing w:after="1" w:line="241" w:lineRule="auto"/>
        <w:ind w:hanging="10"/>
        <w:jc w:val="both"/>
      </w:pPr>
      <w:r w:rsidRPr="0002253F">
        <w:rPr>
          <w:rFonts w:ascii="Arial" w:eastAsia="Arial" w:hAnsi="Arial" w:cs="Arial"/>
          <w:b/>
          <w:sz w:val="20"/>
          <w:lang w:val="pt-BR"/>
        </w:rPr>
        <w:t xml:space="preserve">"Reconhecida a neoplasia maligna, não se exige a demonstração da contemporaneidade dos sintomas, nem a indicação de validade do laudo pericial, ou a comprovação de recidiva da enfermidade, para que o contribuinte faça jus à isenção de imposto de renda prevista no art. 6º, XIV, da Lei 7.713/88. </w:t>
      </w:r>
      <w:r>
        <w:rPr>
          <w:rFonts w:ascii="Arial" w:eastAsia="Arial" w:hAnsi="Arial" w:cs="Arial"/>
          <w:b/>
          <w:sz w:val="20"/>
        </w:rPr>
        <w:t>Precedentes</w:t>
      </w:r>
      <w:r>
        <w:rPr>
          <w:rFonts w:ascii="Arial" w:eastAsia="Arial" w:hAnsi="Arial" w:cs="Arial"/>
          <w:sz w:val="20"/>
        </w:rPr>
        <w:t xml:space="preserve"> do STJ"(RMS 32.061/RS, 2ª Turma, Rel. Min. Eliana Calmon, DJe de 20.8.2010). </w:t>
      </w:r>
    </w:p>
    <w:p w14:paraId="7B84A38B"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 </w:t>
      </w:r>
    </w:p>
    <w:p w14:paraId="2A82F9B8"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8. Recurso especial provido. </w:t>
      </w:r>
    </w:p>
    <w:p w14:paraId="7DB2C2CF" w14:textId="77777777" w:rsidR="00BC6E9B" w:rsidRDefault="00000000">
      <w:pPr>
        <w:spacing w:after="4" w:line="249" w:lineRule="auto"/>
        <w:ind w:left="1838" w:hanging="10"/>
        <w:jc w:val="both"/>
      </w:pPr>
      <w:r w:rsidRPr="0002253F">
        <w:rPr>
          <w:rFonts w:ascii="Arial" w:eastAsia="Arial" w:hAnsi="Arial" w:cs="Arial"/>
          <w:sz w:val="20"/>
          <w:lang w:val="pt-BR"/>
        </w:rPr>
        <w:t xml:space="preserve">(REsp 1235131/RS, Rel. </w:t>
      </w:r>
      <w:r>
        <w:rPr>
          <w:rFonts w:ascii="Arial" w:eastAsia="Arial" w:hAnsi="Arial" w:cs="Arial"/>
          <w:sz w:val="20"/>
        </w:rPr>
        <w:t xml:space="preserve">Ministro BENEDITO GONÇALVES, PRIMEIRA TURMA, julgado em 22/03/2011, DJe 25/03/2011) </w:t>
      </w:r>
    </w:p>
    <w:p w14:paraId="4DE87D87" w14:textId="77777777" w:rsidR="00BC6E9B" w:rsidRDefault="00000000">
      <w:pPr>
        <w:spacing w:after="0"/>
        <w:ind w:left="1843"/>
      </w:pPr>
      <w:r>
        <w:rPr>
          <w:rFonts w:ascii="Arial" w:eastAsia="Arial" w:hAnsi="Arial" w:cs="Arial"/>
          <w:sz w:val="20"/>
        </w:rPr>
        <w:t xml:space="preserve"> </w:t>
      </w:r>
    </w:p>
    <w:p w14:paraId="6B248778" w14:textId="77777777" w:rsidR="00BC6E9B" w:rsidRPr="0002253F" w:rsidRDefault="00000000">
      <w:pPr>
        <w:spacing w:after="0"/>
        <w:ind w:left="1879" w:right="31" w:hanging="10"/>
        <w:jc w:val="center"/>
        <w:rPr>
          <w:lang w:val="pt-BR"/>
        </w:rPr>
      </w:pPr>
      <w:r w:rsidRPr="0002253F">
        <w:rPr>
          <w:rFonts w:ascii="Arial" w:eastAsia="Arial" w:hAnsi="Arial" w:cs="Arial"/>
          <w:sz w:val="20"/>
          <w:lang w:val="pt-BR"/>
        </w:rPr>
        <w:t xml:space="preserve">*** </w:t>
      </w:r>
    </w:p>
    <w:p w14:paraId="736E0838" w14:textId="77777777" w:rsidR="00BC6E9B" w:rsidRPr="0002253F" w:rsidRDefault="00000000">
      <w:pPr>
        <w:spacing w:after="0"/>
        <w:ind w:left="1843"/>
        <w:rPr>
          <w:lang w:val="pt-BR"/>
        </w:rPr>
      </w:pPr>
      <w:r w:rsidRPr="0002253F">
        <w:rPr>
          <w:rFonts w:ascii="Arial" w:eastAsia="Arial" w:hAnsi="Arial" w:cs="Arial"/>
          <w:b/>
          <w:lang w:val="pt-BR"/>
        </w:rPr>
        <w:t xml:space="preserve"> </w:t>
      </w:r>
    </w:p>
    <w:p w14:paraId="5F3E2F79" w14:textId="77777777" w:rsidR="00BC6E9B" w:rsidRPr="0002253F" w:rsidRDefault="00000000">
      <w:pPr>
        <w:spacing w:after="1"/>
        <w:ind w:left="1838" w:hanging="10"/>
        <w:rPr>
          <w:lang w:val="pt-BR"/>
        </w:rPr>
      </w:pPr>
      <w:r w:rsidRPr="0002253F">
        <w:rPr>
          <w:rFonts w:ascii="Arial" w:eastAsia="Arial" w:hAnsi="Arial" w:cs="Arial"/>
          <w:b/>
          <w:sz w:val="20"/>
          <w:u w:val="single" w:color="000000"/>
          <w:lang w:val="pt-BR"/>
        </w:rPr>
        <w:lastRenderedPageBreak/>
        <w:t>Segunda Turma:</w:t>
      </w:r>
      <w:r w:rsidRPr="0002253F">
        <w:rPr>
          <w:rFonts w:ascii="Arial" w:eastAsia="Arial" w:hAnsi="Arial" w:cs="Arial"/>
          <w:b/>
          <w:sz w:val="20"/>
          <w:lang w:val="pt-BR"/>
        </w:rPr>
        <w:t xml:space="preserve"> </w:t>
      </w:r>
    </w:p>
    <w:p w14:paraId="6FB01AC8" w14:textId="77777777" w:rsidR="00BC6E9B" w:rsidRPr="0002253F" w:rsidRDefault="00000000">
      <w:pPr>
        <w:spacing w:after="0"/>
        <w:ind w:left="1843"/>
        <w:rPr>
          <w:lang w:val="pt-BR"/>
        </w:rPr>
      </w:pPr>
      <w:r w:rsidRPr="0002253F">
        <w:rPr>
          <w:rFonts w:ascii="Arial" w:eastAsia="Arial" w:hAnsi="Arial" w:cs="Arial"/>
          <w:b/>
          <w:lang w:val="pt-BR"/>
        </w:rPr>
        <w:t xml:space="preserve"> </w:t>
      </w:r>
    </w:p>
    <w:p w14:paraId="52006517"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TRIBUTÁRIO. AGRAVO REGIMENTAL NO AGRAVO EM RECURSO ESPECIAL. ISENÇÃO DE IMPOSTO DE RENDA. MOLÉSTIA GRAVE. NEOPLASIA MALIGNA. DEMONSTRAÇÃO DA CONTEMPORANEIDADE DOS SINTOMAS. DESNECESSIDADE. </w:t>
      </w:r>
    </w:p>
    <w:p w14:paraId="7432F5B3" w14:textId="77777777" w:rsidR="00BC6E9B" w:rsidRDefault="00000000">
      <w:pPr>
        <w:numPr>
          <w:ilvl w:val="0"/>
          <w:numId w:val="6"/>
        </w:numPr>
        <w:spacing w:after="1" w:line="241" w:lineRule="auto"/>
        <w:ind w:hanging="221"/>
        <w:jc w:val="both"/>
      </w:pPr>
      <w:r w:rsidRPr="0002253F">
        <w:rPr>
          <w:rFonts w:ascii="Arial" w:eastAsia="Arial" w:hAnsi="Arial" w:cs="Arial"/>
          <w:sz w:val="20"/>
          <w:lang w:val="pt-BR"/>
        </w:rPr>
        <w:t xml:space="preserve">Após a concessão da isenção do imposto de renda </w:t>
      </w:r>
      <w:r w:rsidRPr="0002253F">
        <w:rPr>
          <w:rFonts w:ascii="Arial" w:eastAsia="Arial" w:hAnsi="Arial" w:cs="Arial"/>
          <w:b/>
          <w:sz w:val="20"/>
          <w:lang w:val="pt-BR"/>
        </w:rPr>
        <w:t>sobre os proventos de aposentadoria, pensão ou reforma</w:t>
      </w:r>
      <w:r w:rsidRPr="0002253F">
        <w:rPr>
          <w:rFonts w:ascii="Arial" w:eastAsia="Arial" w:hAnsi="Arial" w:cs="Arial"/>
          <w:sz w:val="20"/>
          <w:lang w:val="pt-BR"/>
        </w:rPr>
        <w:t xml:space="preserve"> percebidos por portadores de moléstias graves, nos termos art. 6º, inciso XIV, da Lei 7.713/88, </w:t>
      </w:r>
      <w:r w:rsidRPr="0002253F">
        <w:rPr>
          <w:rFonts w:ascii="Arial" w:eastAsia="Arial" w:hAnsi="Arial" w:cs="Arial"/>
          <w:b/>
          <w:sz w:val="20"/>
          <w:lang w:val="pt-BR"/>
        </w:rPr>
        <w:t>o fato de se constatar a ausência de sintomas da doença não justifica a revogação do benefício isencional, tendo em vista que a finalidade desse benefício é diminuir o sacrifício dos beneficiários, aliviando-os dos encargos financeiros.</w:t>
      </w:r>
      <w:r w:rsidRPr="0002253F">
        <w:rPr>
          <w:rFonts w:ascii="Arial" w:eastAsia="Arial" w:hAnsi="Arial" w:cs="Arial"/>
          <w:sz w:val="20"/>
          <w:lang w:val="pt-BR"/>
        </w:rPr>
        <w:t xml:space="preserve"> </w:t>
      </w:r>
      <w:r>
        <w:rPr>
          <w:rFonts w:ascii="Arial" w:eastAsia="Arial" w:hAnsi="Arial" w:cs="Arial"/>
          <w:sz w:val="20"/>
        </w:rPr>
        <w:t xml:space="preserve">Precedentes. </w:t>
      </w:r>
    </w:p>
    <w:p w14:paraId="6208C5C4" w14:textId="77777777" w:rsidR="00BC6E9B" w:rsidRDefault="00000000">
      <w:pPr>
        <w:numPr>
          <w:ilvl w:val="0"/>
          <w:numId w:val="6"/>
        </w:numPr>
        <w:spacing w:after="4" w:line="249" w:lineRule="auto"/>
        <w:ind w:hanging="221"/>
        <w:jc w:val="both"/>
      </w:pPr>
      <w:r w:rsidRPr="0002253F">
        <w:rPr>
          <w:rFonts w:ascii="Arial" w:eastAsia="Arial" w:hAnsi="Arial" w:cs="Arial"/>
          <w:sz w:val="20"/>
          <w:lang w:val="pt-BR"/>
        </w:rPr>
        <w:t xml:space="preserve">Os arts. 6º, XIV, da Lei n. 7.713/88, e 30 da Lei n. 9.250/95, não podem limitar a liberdade que o Código de Processo Civil confere ao magistrado na apreciação e valoração jurídica das provas constantes dos autos, </w:t>
      </w:r>
      <w:r w:rsidRPr="0002253F">
        <w:rPr>
          <w:rFonts w:ascii="Arial" w:eastAsia="Arial" w:hAnsi="Arial" w:cs="Arial"/>
          <w:b/>
          <w:sz w:val="20"/>
          <w:lang w:val="pt-BR"/>
        </w:rPr>
        <w:t>razão pela qual o benefício de isenção do imposto de renda pode ser confirmado quando a neoplasia maligna for comprovada, independentemente da contemporaneidade dos sintomas da doença.</w:t>
      </w:r>
      <w:r w:rsidRPr="0002253F">
        <w:rPr>
          <w:rFonts w:ascii="Arial" w:eastAsia="Arial" w:hAnsi="Arial" w:cs="Arial"/>
          <w:sz w:val="20"/>
          <w:lang w:val="pt-BR"/>
        </w:rPr>
        <w:t xml:space="preserve"> </w:t>
      </w:r>
      <w:r>
        <w:rPr>
          <w:rFonts w:ascii="Arial" w:eastAsia="Arial" w:hAnsi="Arial" w:cs="Arial"/>
          <w:sz w:val="20"/>
        </w:rPr>
        <w:t xml:space="preserve">Precedentes. </w:t>
      </w:r>
    </w:p>
    <w:p w14:paraId="0597E638" w14:textId="77777777" w:rsidR="00BC6E9B" w:rsidRDefault="00000000">
      <w:pPr>
        <w:numPr>
          <w:ilvl w:val="0"/>
          <w:numId w:val="6"/>
        </w:numPr>
        <w:spacing w:after="4" w:line="249" w:lineRule="auto"/>
        <w:ind w:hanging="221"/>
        <w:jc w:val="both"/>
      </w:pPr>
      <w:r>
        <w:rPr>
          <w:rFonts w:ascii="Arial" w:eastAsia="Arial" w:hAnsi="Arial" w:cs="Arial"/>
          <w:sz w:val="20"/>
        </w:rPr>
        <w:t xml:space="preserve">Agravo regimental não provido. </w:t>
      </w:r>
    </w:p>
    <w:p w14:paraId="2F67A90B" w14:textId="77777777" w:rsidR="00BC6E9B" w:rsidRDefault="00000000">
      <w:pPr>
        <w:spacing w:after="4" w:line="249" w:lineRule="auto"/>
        <w:ind w:left="1838" w:hanging="10"/>
        <w:jc w:val="both"/>
      </w:pPr>
      <w:r>
        <w:rPr>
          <w:rFonts w:ascii="Arial" w:eastAsia="Arial" w:hAnsi="Arial" w:cs="Arial"/>
          <w:sz w:val="20"/>
        </w:rPr>
        <w:t xml:space="preserve">(AgRg no AREsp 701.863/RS, Rel. Ministro MAURO CAMPBELL MARQUES, </w:t>
      </w:r>
    </w:p>
    <w:p w14:paraId="36CCD567"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SEGUNDA TURMA, julgado em 16/06/2015, DJe 23/06/2015) </w:t>
      </w:r>
    </w:p>
    <w:p w14:paraId="6B23920E"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4EA7016C" w14:textId="77777777" w:rsidR="00BC6E9B" w:rsidRPr="0002253F" w:rsidRDefault="00000000">
      <w:pPr>
        <w:spacing w:after="0"/>
        <w:ind w:left="1879" w:right="31" w:hanging="10"/>
        <w:jc w:val="center"/>
        <w:rPr>
          <w:lang w:val="pt-BR"/>
        </w:rPr>
      </w:pPr>
      <w:r w:rsidRPr="0002253F">
        <w:rPr>
          <w:rFonts w:ascii="Arial" w:eastAsia="Arial" w:hAnsi="Arial" w:cs="Arial"/>
          <w:sz w:val="20"/>
          <w:lang w:val="pt-BR"/>
        </w:rPr>
        <w:t xml:space="preserve">*** </w:t>
      </w:r>
    </w:p>
    <w:p w14:paraId="77EE5A15" w14:textId="77777777" w:rsidR="00BC6E9B" w:rsidRPr="0002253F" w:rsidRDefault="00000000">
      <w:pPr>
        <w:spacing w:after="0"/>
        <w:ind w:left="1893"/>
        <w:jc w:val="center"/>
        <w:rPr>
          <w:lang w:val="pt-BR"/>
        </w:rPr>
      </w:pPr>
      <w:r w:rsidRPr="0002253F">
        <w:rPr>
          <w:rFonts w:ascii="Arial" w:eastAsia="Arial" w:hAnsi="Arial" w:cs="Arial"/>
          <w:sz w:val="20"/>
          <w:lang w:val="pt-BR"/>
        </w:rPr>
        <w:t xml:space="preserve"> </w:t>
      </w:r>
    </w:p>
    <w:p w14:paraId="0E02CD45" w14:textId="77777777" w:rsidR="00BC6E9B" w:rsidRDefault="00000000">
      <w:pPr>
        <w:spacing w:after="4" w:line="249" w:lineRule="auto"/>
        <w:ind w:left="1838" w:hanging="10"/>
        <w:jc w:val="both"/>
      </w:pPr>
      <w:r w:rsidRPr="0002253F">
        <w:rPr>
          <w:rFonts w:ascii="Arial" w:eastAsia="Arial" w:hAnsi="Arial" w:cs="Arial"/>
          <w:sz w:val="20"/>
          <w:lang w:val="pt-BR"/>
        </w:rPr>
        <w:t xml:space="preserve">TRIBUTÁRIO. AGRAVO REGIMENTAL NO RECURSO ESPECIAL. IMPOSTO DE RENDA. NEOPLASIA MALIGNA. </w:t>
      </w:r>
      <w:r>
        <w:rPr>
          <w:rFonts w:ascii="Arial" w:eastAsia="Arial" w:hAnsi="Arial" w:cs="Arial"/>
          <w:sz w:val="20"/>
        </w:rPr>
        <w:t xml:space="preserve">ISENÇÃO. CONTEMPORANEIDADE DOS SINTOMAS. DESNECESSIDADE. </w:t>
      </w:r>
    </w:p>
    <w:p w14:paraId="1C898A70" w14:textId="77777777" w:rsidR="00BC6E9B" w:rsidRPr="0002253F" w:rsidRDefault="00000000">
      <w:pPr>
        <w:numPr>
          <w:ilvl w:val="0"/>
          <w:numId w:val="7"/>
        </w:numPr>
        <w:spacing w:after="4" w:line="249" w:lineRule="auto"/>
        <w:ind w:right="-3" w:hanging="221"/>
        <w:jc w:val="both"/>
        <w:rPr>
          <w:lang w:val="pt-BR"/>
        </w:rPr>
      </w:pPr>
      <w:r w:rsidRPr="0002253F">
        <w:rPr>
          <w:rFonts w:ascii="Arial" w:eastAsia="Arial" w:hAnsi="Arial" w:cs="Arial"/>
          <w:sz w:val="20"/>
          <w:lang w:val="pt-BR"/>
        </w:rPr>
        <w:t xml:space="preserve">Hipótese em que agrava o Ministério Público Federal de decisão que deu provimento ao recurso especial para reconhecer indevida a incidência do imposto de renda sobre os proventos de aposentadoria auferidos pelo autor. </w:t>
      </w:r>
    </w:p>
    <w:p w14:paraId="6390B145" w14:textId="77777777" w:rsidR="00BC6E9B" w:rsidRPr="0002253F" w:rsidRDefault="00000000">
      <w:pPr>
        <w:numPr>
          <w:ilvl w:val="0"/>
          <w:numId w:val="7"/>
        </w:numPr>
        <w:spacing w:after="1" w:line="241" w:lineRule="auto"/>
        <w:ind w:right="-3" w:hanging="221"/>
        <w:jc w:val="both"/>
        <w:rPr>
          <w:lang w:val="pt-BR"/>
        </w:rPr>
      </w:pPr>
      <w:r w:rsidRPr="0002253F">
        <w:rPr>
          <w:rFonts w:ascii="Arial" w:eastAsia="Arial" w:hAnsi="Arial" w:cs="Arial"/>
          <w:sz w:val="20"/>
          <w:lang w:val="pt-BR"/>
        </w:rPr>
        <w:t xml:space="preserve">A par de ser admitida a valoração da prova em sede especial, </w:t>
      </w:r>
      <w:r w:rsidRPr="0002253F">
        <w:rPr>
          <w:rFonts w:ascii="Arial" w:eastAsia="Arial" w:hAnsi="Arial" w:cs="Arial"/>
          <w:b/>
          <w:sz w:val="20"/>
          <w:lang w:val="pt-BR"/>
        </w:rPr>
        <w:t xml:space="preserve">a jurisprudência desta Corte Superior não exige a demonstração de contemporaneidade dos sintomas ou a comprovação de recidiva da enfermidade para a manutenção da regra isencional. </w:t>
      </w:r>
    </w:p>
    <w:p w14:paraId="40ED81F4" w14:textId="77777777" w:rsidR="00BC6E9B" w:rsidRDefault="00000000">
      <w:pPr>
        <w:numPr>
          <w:ilvl w:val="0"/>
          <w:numId w:val="7"/>
        </w:numPr>
        <w:spacing w:after="1" w:line="241" w:lineRule="auto"/>
        <w:ind w:right="-3" w:hanging="221"/>
        <w:jc w:val="both"/>
      </w:pPr>
      <w:r w:rsidRPr="0002253F">
        <w:rPr>
          <w:rFonts w:ascii="Arial" w:eastAsia="Arial" w:hAnsi="Arial" w:cs="Arial"/>
          <w:b/>
          <w:sz w:val="20"/>
          <w:lang w:val="pt-BR"/>
        </w:rPr>
        <w:t>"Há entendimento jurisprudencial desta Primeira Seção no sentido de que, após a concessão da isenção do Imposto de Renda sobre os proventos de aposentadoria ou reforma percebidos por portadores de moléstias graves, nos termos art. 6º, inciso XIV, da Lei 7.713/88, o fato de a Junta Médica constatar a ausência de sintomas da doença pela provável cura não justifica a revogação do benefício isencional, tendo em vista que a finalidade desse benefício é diminuir o sacrifícios dos aposentados, aliviando-os dos encargos financeiros</w:t>
      </w:r>
      <w:r w:rsidRPr="0002253F">
        <w:rPr>
          <w:rFonts w:ascii="Arial" w:eastAsia="Arial" w:hAnsi="Arial" w:cs="Arial"/>
          <w:sz w:val="20"/>
          <w:lang w:val="pt-BR"/>
        </w:rPr>
        <w:t xml:space="preserve">" (MS 15.261/DF, Rel. </w:t>
      </w:r>
      <w:r>
        <w:rPr>
          <w:rFonts w:ascii="Arial" w:eastAsia="Arial" w:hAnsi="Arial" w:cs="Arial"/>
          <w:sz w:val="20"/>
        </w:rPr>
        <w:t xml:space="preserve">Ministro Mauro Campbell Marques, Primeira Seção, DJe 5/10/2010). </w:t>
      </w:r>
    </w:p>
    <w:p w14:paraId="729F37F7" w14:textId="77777777" w:rsidR="00BC6E9B" w:rsidRPr="0002253F" w:rsidRDefault="00000000">
      <w:pPr>
        <w:numPr>
          <w:ilvl w:val="0"/>
          <w:numId w:val="7"/>
        </w:numPr>
        <w:spacing w:after="4" w:line="249" w:lineRule="auto"/>
        <w:ind w:right="-3" w:hanging="221"/>
        <w:jc w:val="both"/>
        <w:rPr>
          <w:lang w:val="pt-BR"/>
        </w:rPr>
      </w:pPr>
      <w:r w:rsidRPr="0002253F">
        <w:rPr>
          <w:rFonts w:ascii="Arial" w:eastAsia="Arial" w:hAnsi="Arial" w:cs="Arial"/>
          <w:sz w:val="20"/>
          <w:lang w:val="pt-BR"/>
        </w:rPr>
        <w:t xml:space="preserve">Agravo regimental a que se nega provimento. </w:t>
      </w:r>
    </w:p>
    <w:p w14:paraId="61330620" w14:textId="77777777" w:rsidR="00BC6E9B" w:rsidRDefault="00000000">
      <w:pPr>
        <w:spacing w:after="4" w:line="249" w:lineRule="auto"/>
        <w:ind w:left="1838" w:hanging="10"/>
        <w:jc w:val="both"/>
      </w:pPr>
      <w:r>
        <w:rPr>
          <w:rFonts w:ascii="Arial" w:eastAsia="Arial" w:hAnsi="Arial" w:cs="Arial"/>
          <w:sz w:val="20"/>
        </w:rPr>
        <w:t xml:space="preserve">(AgRg no REsp 1403771/RS, Rel. Ministro OG FERNANDES, SEGUNDA TURMA, julgado em 20/11/2014, DJe 10/12/2014) </w:t>
      </w:r>
    </w:p>
    <w:p w14:paraId="7D7EDC27" w14:textId="77777777" w:rsidR="00BC6E9B" w:rsidRDefault="00000000">
      <w:pPr>
        <w:spacing w:after="0"/>
        <w:ind w:left="1843"/>
      </w:pPr>
      <w:r>
        <w:rPr>
          <w:rFonts w:ascii="Arial" w:eastAsia="Arial" w:hAnsi="Arial" w:cs="Arial"/>
          <w:sz w:val="20"/>
        </w:rPr>
        <w:t xml:space="preserve"> </w:t>
      </w:r>
    </w:p>
    <w:p w14:paraId="06D0BEE8" w14:textId="77777777" w:rsidR="00BC6E9B" w:rsidRPr="0002253F" w:rsidRDefault="00000000">
      <w:pPr>
        <w:spacing w:after="0"/>
        <w:ind w:left="1879" w:right="31" w:hanging="10"/>
        <w:jc w:val="center"/>
        <w:rPr>
          <w:lang w:val="pt-BR"/>
        </w:rPr>
      </w:pPr>
      <w:r w:rsidRPr="0002253F">
        <w:rPr>
          <w:rFonts w:ascii="Arial" w:eastAsia="Arial" w:hAnsi="Arial" w:cs="Arial"/>
          <w:sz w:val="20"/>
          <w:lang w:val="pt-BR"/>
        </w:rPr>
        <w:t xml:space="preserve">*** </w:t>
      </w:r>
    </w:p>
    <w:p w14:paraId="11386BC7"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3C8B6C30"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TRIBUTÁRIO. LEI COMPLEMENTAR 118/05. IRPF. AIDS. ART. 6º DA LEI Nº 7.713/88. ISENÇÃO. POSSIBILIDADE. PRECEDENTES. SÚMULA 83 DO STJ. </w:t>
      </w:r>
    </w:p>
    <w:p w14:paraId="4BC23E6F" w14:textId="77777777" w:rsidR="00BC6E9B" w:rsidRDefault="00000000">
      <w:pPr>
        <w:spacing w:after="4" w:line="249" w:lineRule="auto"/>
        <w:ind w:left="1838" w:hanging="10"/>
        <w:jc w:val="both"/>
      </w:pPr>
      <w:r w:rsidRPr="0002253F">
        <w:rPr>
          <w:rFonts w:ascii="Arial" w:eastAsia="Arial" w:hAnsi="Arial" w:cs="Arial"/>
          <w:sz w:val="20"/>
          <w:lang w:val="pt-BR"/>
        </w:rPr>
        <w:t xml:space="preserve">FUNDAMENTO DA DECISÃO AGRAVADA NÃO ATACADO. </w:t>
      </w:r>
      <w:r>
        <w:rPr>
          <w:rFonts w:ascii="Arial" w:eastAsia="Arial" w:hAnsi="Arial" w:cs="Arial"/>
          <w:sz w:val="20"/>
        </w:rPr>
        <w:t xml:space="preserve">SÚMULA 182 DO </w:t>
      </w:r>
    </w:p>
    <w:p w14:paraId="75E20FB9" w14:textId="77777777" w:rsidR="00BC6E9B" w:rsidRDefault="00000000">
      <w:pPr>
        <w:spacing w:after="4" w:line="249" w:lineRule="auto"/>
        <w:ind w:left="1838" w:hanging="10"/>
        <w:jc w:val="both"/>
      </w:pPr>
      <w:r>
        <w:rPr>
          <w:rFonts w:ascii="Arial" w:eastAsia="Arial" w:hAnsi="Arial" w:cs="Arial"/>
          <w:sz w:val="20"/>
        </w:rPr>
        <w:t xml:space="preserve">STJ. </w:t>
      </w:r>
    </w:p>
    <w:p w14:paraId="7C821F85" w14:textId="77777777" w:rsidR="00BC6E9B" w:rsidRDefault="00000000">
      <w:pPr>
        <w:numPr>
          <w:ilvl w:val="0"/>
          <w:numId w:val="8"/>
        </w:numPr>
        <w:spacing w:after="1" w:line="241" w:lineRule="auto"/>
        <w:ind w:left="2065" w:hanging="237"/>
        <w:jc w:val="both"/>
      </w:pPr>
      <w:r w:rsidRPr="0002253F">
        <w:rPr>
          <w:rFonts w:ascii="Arial" w:eastAsia="Arial" w:hAnsi="Arial" w:cs="Arial"/>
          <w:b/>
          <w:sz w:val="20"/>
          <w:lang w:val="pt-BR"/>
        </w:rPr>
        <w:lastRenderedPageBreak/>
        <w:t xml:space="preserve">"Reconhecida a neoplasia maligna, não se exige a demonstração da contemporaneidade dos sintomas, nem a indicação de validade do laudo pericial, ou a comprovação de recidiva da enfermidade, para que o contribuinte faça jus à isenção de imposto de renda prevista no art. 6º, XIV, da Lei 7.713/88. </w:t>
      </w:r>
      <w:r>
        <w:rPr>
          <w:rFonts w:ascii="Arial" w:eastAsia="Arial" w:hAnsi="Arial" w:cs="Arial"/>
          <w:b/>
          <w:sz w:val="20"/>
        </w:rPr>
        <w:t>Precedentes</w:t>
      </w:r>
      <w:r>
        <w:rPr>
          <w:rFonts w:ascii="Arial" w:eastAsia="Arial" w:hAnsi="Arial" w:cs="Arial"/>
          <w:sz w:val="20"/>
        </w:rPr>
        <w:t xml:space="preserve"> do STJ"(RMS 32.061/RS, 2ª Turma, Rel. Min. Eliana Calmon, DJe de 20.8.2010). </w:t>
      </w:r>
    </w:p>
    <w:p w14:paraId="27002023" w14:textId="77777777" w:rsidR="00BC6E9B" w:rsidRPr="0002253F" w:rsidRDefault="00000000">
      <w:pPr>
        <w:numPr>
          <w:ilvl w:val="0"/>
          <w:numId w:val="8"/>
        </w:numPr>
        <w:spacing w:after="4" w:line="249" w:lineRule="auto"/>
        <w:ind w:left="2065" w:hanging="237"/>
        <w:jc w:val="both"/>
        <w:rPr>
          <w:lang w:val="pt-BR"/>
        </w:rPr>
      </w:pPr>
      <w:r w:rsidRPr="0002253F">
        <w:rPr>
          <w:rFonts w:ascii="Arial" w:eastAsia="Arial" w:hAnsi="Arial" w:cs="Arial"/>
          <w:sz w:val="20"/>
          <w:lang w:val="pt-BR"/>
        </w:rPr>
        <w:t xml:space="preserve">É inviável o agravo que deixa de atacar os fundamentos da decisão agravada. </w:t>
      </w:r>
    </w:p>
    <w:p w14:paraId="4ADDAB11"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Incide a Súmula 182 do STJ. </w:t>
      </w:r>
    </w:p>
    <w:p w14:paraId="34F8888A" w14:textId="77777777" w:rsidR="00BC6E9B" w:rsidRPr="0002253F" w:rsidRDefault="00000000">
      <w:pPr>
        <w:numPr>
          <w:ilvl w:val="0"/>
          <w:numId w:val="8"/>
        </w:numPr>
        <w:spacing w:after="4" w:line="249" w:lineRule="auto"/>
        <w:ind w:left="2065" w:hanging="237"/>
        <w:jc w:val="both"/>
        <w:rPr>
          <w:lang w:val="pt-BR"/>
        </w:rPr>
      </w:pPr>
      <w:r w:rsidRPr="0002253F">
        <w:rPr>
          <w:rFonts w:ascii="Arial" w:eastAsia="Arial" w:hAnsi="Arial" w:cs="Arial"/>
          <w:sz w:val="20"/>
          <w:lang w:val="pt-BR"/>
        </w:rPr>
        <w:t xml:space="preserve">Fundamentada a decisão agravada no sentido de que o acórdão recorrido está em sintonia com o atual entendimento do STJ, deveria a recorrente demonstrar que outra é a positivação do Direito na jurisprudência do STJ. </w:t>
      </w:r>
    </w:p>
    <w:p w14:paraId="3D9AD60C" w14:textId="77777777" w:rsidR="00BC6E9B" w:rsidRDefault="00000000">
      <w:pPr>
        <w:numPr>
          <w:ilvl w:val="0"/>
          <w:numId w:val="8"/>
        </w:numPr>
        <w:spacing w:after="4" w:line="249" w:lineRule="auto"/>
        <w:ind w:left="2065" w:hanging="237"/>
        <w:jc w:val="both"/>
      </w:pPr>
      <w:r w:rsidRPr="0002253F">
        <w:rPr>
          <w:rFonts w:ascii="Arial" w:eastAsia="Arial" w:hAnsi="Arial" w:cs="Arial"/>
          <w:sz w:val="20"/>
          <w:lang w:val="pt-BR"/>
        </w:rPr>
        <w:t xml:space="preserve">A tese jurídica debatida no Recurso Especial deve ter sido objeto de discussão no acórdão atacado. Inexistindo esta circunstância, desmerece ser conhecida por ausência de prequestionamento. </w:t>
      </w:r>
      <w:r>
        <w:rPr>
          <w:rFonts w:ascii="Arial" w:eastAsia="Arial" w:hAnsi="Arial" w:cs="Arial"/>
          <w:sz w:val="20"/>
        </w:rPr>
        <w:t xml:space="preserve">Súmula 282 do STF. </w:t>
      </w:r>
    </w:p>
    <w:p w14:paraId="781261DF" w14:textId="77777777" w:rsidR="00BC6E9B" w:rsidRDefault="00000000">
      <w:pPr>
        <w:numPr>
          <w:ilvl w:val="0"/>
          <w:numId w:val="8"/>
        </w:numPr>
        <w:spacing w:after="4" w:line="249" w:lineRule="auto"/>
        <w:ind w:left="2065" w:hanging="237"/>
        <w:jc w:val="both"/>
      </w:pPr>
      <w:r>
        <w:rPr>
          <w:rFonts w:ascii="Arial" w:eastAsia="Arial" w:hAnsi="Arial" w:cs="Arial"/>
          <w:sz w:val="20"/>
        </w:rPr>
        <w:t xml:space="preserve">Agravo Regimental não conhecido. </w:t>
      </w:r>
    </w:p>
    <w:p w14:paraId="7441AE35" w14:textId="77777777" w:rsidR="00BC6E9B" w:rsidRDefault="00000000">
      <w:pPr>
        <w:spacing w:after="4" w:line="249" w:lineRule="auto"/>
        <w:ind w:left="1838" w:hanging="10"/>
        <w:jc w:val="both"/>
      </w:pPr>
      <w:r>
        <w:rPr>
          <w:rFonts w:ascii="Arial" w:eastAsia="Arial" w:hAnsi="Arial" w:cs="Arial"/>
          <w:sz w:val="20"/>
        </w:rPr>
        <w:t xml:space="preserve">(AgRg no AREsp 436.268/RS, Rel. Ministro HERMAN BENJAMIN, SEGUNDA </w:t>
      </w:r>
    </w:p>
    <w:p w14:paraId="16C50D62"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TURMA, julgado em 25/02/2014, DJe 27/03/2014) </w:t>
      </w:r>
    </w:p>
    <w:p w14:paraId="209F3242" w14:textId="77777777" w:rsidR="00BC6E9B" w:rsidRPr="0002253F" w:rsidRDefault="00000000">
      <w:pPr>
        <w:spacing w:after="0"/>
        <w:ind w:left="1843"/>
        <w:rPr>
          <w:lang w:val="pt-BR"/>
        </w:rPr>
      </w:pPr>
      <w:r w:rsidRPr="0002253F">
        <w:rPr>
          <w:rFonts w:ascii="Arial" w:eastAsia="Arial" w:hAnsi="Arial" w:cs="Arial"/>
          <w:sz w:val="20"/>
          <w:lang w:val="pt-BR"/>
        </w:rPr>
        <w:t xml:space="preserve"> </w:t>
      </w:r>
    </w:p>
    <w:p w14:paraId="1657D6A9" w14:textId="77777777" w:rsidR="00BC6E9B" w:rsidRPr="0002253F" w:rsidRDefault="00000000">
      <w:pPr>
        <w:spacing w:after="0"/>
        <w:ind w:left="1879" w:right="31" w:hanging="10"/>
        <w:jc w:val="center"/>
        <w:rPr>
          <w:lang w:val="pt-BR"/>
        </w:rPr>
      </w:pPr>
      <w:r w:rsidRPr="0002253F">
        <w:rPr>
          <w:rFonts w:ascii="Arial" w:eastAsia="Arial" w:hAnsi="Arial" w:cs="Arial"/>
          <w:sz w:val="20"/>
          <w:lang w:val="pt-BR"/>
        </w:rPr>
        <w:t xml:space="preserve">*** </w:t>
      </w:r>
    </w:p>
    <w:p w14:paraId="42D2CC37" w14:textId="77777777" w:rsidR="00BC6E9B" w:rsidRPr="0002253F" w:rsidRDefault="00000000">
      <w:pPr>
        <w:spacing w:after="0"/>
        <w:ind w:left="1893"/>
        <w:jc w:val="center"/>
        <w:rPr>
          <w:lang w:val="pt-BR"/>
        </w:rPr>
      </w:pPr>
      <w:r w:rsidRPr="0002253F">
        <w:rPr>
          <w:rFonts w:ascii="Arial" w:eastAsia="Arial" w:hAnsi="Arial" w:cs="Arial"/>
          <w:sz w:val="20"/>
          <w:lang w:val="pt-BR"/>
        </w:rPr>
        <w:t xml:space="preserve"> </w:t>
      </w:r>
    </w:p>
    <w:p w14:paraId="2BF12403"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RECURSO ORDINÁRIO EM MANDADO DE SEGURANÇA. TRIBUTÁRIO. </w:t>
      </w:r>
    </w:p>
    <w:p w14:paraId="5CFF4C3F"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IMPOSTO DE RENDA. ISENÇÃO COM BASE NO ART. 6º, XIV, DA LEI </w:t>
      </w:r>
    </w:p>
    <w:p w14:paraId="491CFFD4" w14:textId="77777777" w:rsidR="00BC6E9B" w:rsidRPr="0002253F" w:rsidRDefault="00000000">
      <w:pPr>
        <w:spacing w:after="4" w:line="249" w:lineRule="auto"/>
        <w:ind w:left="1838" w:hanging="10"/>
        <w:jc w:val="both"/>
        <w:rPr>
          <w:lang w:val="pt-BR"/>
        </w:rPr>
      </w:pPr>
      <w:r w:rsidRPr="0002253F">
        <w:rPr>
          <w:rFonts w:ascii="Arial" w:eastAsia="Arial" w:hAnsi="Arial" w:cs="Arial"/>
          <w:sz w:val="20"/>
          <w:lang w:val="pt-BR"/>
        </w:rPr>
        <w:t xml:space="preserve">7.713/1988. </w:t>
      </w:r>
    </w:p>
    <w:p w14:paraId="788F33EA" w14:textId="77777777" w:rsidR="00BC6E9B" w:rsidRDefault="00000000">
      <w:pPr>
        <w:spacing w:after="4" w:line="249" w:lineRule="auto"/>
        <w:ind w:left="1838" w:hanging="10"/>
        <w:jc w:val="both"/>
      </w:pPr>
      <w:r w:rsidRPr="0002253F">
        <w:rPr>
          <w:rFonts w:ascii="Arial" w:eastAsia="Arial" w:hAnsi="Arial" w:cs="Arial"/>
          <w:sz w:val="20"/>
          <w:lang w:val="pt-BR"/>
        </w:rPr>
        <w:t xml:space="preserve">NEOPLASIA MALIGNA.  DEMONSTRAÇÃO DA CONTEMPORANEIDADE DOS SINTOMAS. </w:t>
      </w:r>
      <w:r>
        <w:rPr>
          <w:rFonts w:ascii="Arial" w:eastAsia="Arial" w:hAnsi="Arial" w:cs="Arial"/>
          <w:sz w:val="20"/>
        </w:rPr>
        <w:t xml:space="preserve">DESNECESSIDADE. PRESENÇA DOS REQUISITOS AUTORIZADORES. </w:t>
      </w:r>
    </w:p>
    <w:p w14:paraId="28C79849" w14:textId="77777777" w:rsidR="00BC6E9B" w:rsidRDefault="00000000">
      <w:pPr>
        <w:numPr>
          <w:ilvl w:val="1"/>
          <w:numId w:val="8"/>
        </w:numPr>
        <w:spacing w:after="1" w:line="241" w:lineRule="auto"/>
        <w:ind w:right="-6" w:hanging="10"/>
        <w:jc w:val="both"/>
      </w:pPr>
      <w:r w:rsidRPr="0002253F">
        <w:rPr>
          <w:rFonts w:ascii="Arial" w:eastAsia="Arial" w:hAnsi="Arial" w:cs="Arial"/>
          <w:b/>
          <w:sz w:val="20"/>
          <w:lang w:val="pt-BR"/>
        </w:rPr>
        <w:t>A isenção do imposto de renda incidente sobre os proventos de aposentadoria percebidos por portadores de moléstias-graves nos termos art. 6º, inciso XIV, da Lei 7.713/88 independe da contemporaneidade dos sintomas.</w:t>
      </w:r>
      <w:r w:rsidRPr="0002253F">
        <w:rPr>
          <w:rFonts w:ascii="Arial" w:eastAsia="Arial" w:hAnsi="Arial" w:cs="Arial"/>
          <w:sz w:val="20"/>
          <w:lang w:val="pt-BR"/>
        </w:rPr>
        <w:t xml:space="preserve"> </w:t>
      </w:r>
      <w:r>
        <w:rPr>
          <w:rFonts w:ascii="Arial" w:eastAsia="Arial" w:hAnsi="Arial" w:cs="Arial"/>
          <w:sz w:val="20"/>
        </w:rPr>
        <w:t xml:space="preserve">Precedentes: REsp 1125064 / DF, Segunda Turma, rel. Ministra Eliana Calmon, DJe 14/04/2010; REsp 967693 / DF, Segunda Turma, rel. Min. Humberto </w:t>
      </w:r>
    </w:p>
    <w:p w14:paraId="0C2A012A" w14:textId="77777777" w:rsidR="00BC6E9B" w:rsidRDefault="00000000">
      <w:pPr>
        <w:spacing w:after="4" w:line="249" w:lineRule="auto"/>
        <w:ind w:left="1838" w:hanging="10"/>
        <w:jc w:val="both"/>
      </w:pPr>
      <w:r w:rsidRPr="0002253F">
        <w:rPr>
          <w:rFonts w:ascii="Arial" w:eastAsia="Arial" w:hAnsi="Arial" w:cs="Arial"/>
          <w:sz w:val="20"/>
          <w:lang w:val="pt-BR"/>
        </w:rPr>
        <w:t xml:space="preserve">Martins, DJ 18/09/2007; REsp 734541 / SP, Primeira Turma, rel. </w:t>
      </w:r>
      <w:r>
        <w:rPr>
          <w:rFonts w:ascii="Arial" w:eastAsia="Arial" w:hAnsi="Arial" w:cs="Arial"/>
          <w:sz w:val="20"/>
        </w:rPr>
        <w:t xml:space="preserve">Ministro Luiz Fux, DJ 20/02/2006; MS 15261 / DF, Primeira Seção, Rel. Min. Mauro Campbell Marques, julgado em 22.09.2010. </w:t>
      </w:r>
    </w:p>
    <w:p w14:paraId="427B572A" w14:textId="77777777" w:rsidR="00BC6E9B" w:rsidRDefault="00000000">
      <w:pPr>
        <w:numPr>
          <w:ilvl w:val="1"/>
          <w:numId w:val="8"/>
        </w:numPr>
        <w:spacing w:after="1" w:line="241" w:lineRule="auto"/>
        <w:ind w:right="-6" w:hanging="10"/>
        <w:jc w:val="both"/>
      </w:pPr>
      <w:r w:rsidRPr="0002253F">
        <w:rPr>
          <w:rFonts w:ascii="Arial" w:eastAsia="Arial" w:hAnsi="Arial" w:cs="Arial"/>
          <w:b/>
          <w:sz w:val="20"/>
          <w:lang w:val="pt-BR"/>
        </w:rPr>
        <w:t>Situação em que o portador da neoplasia maligna somente requereu a isenção mais de cinco anos depois de sua última manifestação, o que não impede o gozo do direito.</w:t>
      </w:r>
      <w:r w:rsidRPr="0002253F">
        <w:rPr>
          <w:rFonts w:ascii="Arial" w:eastAsia="Arial" w:hAnsi="Arial" w:cs="Arial"/>
          <w:sz w:val="20"/>
          <w:lang w:val="pt-BR"/>
        </w:rPr>
        <w:t xml:space="preserve"> </w:t>
      </w:r>
      <w:r>
        <w:rPr>
          <w:rFonts w:ascii="Arial" w:eastAsia="Arial" w:hAnsi="Arial" w:cs="Arial"/>
          <w:sz w:val="20"/>
        </w:rPr>
        <w:t xml:space="preserve">3. Recurso ordinário provido. </w:t>
      </w:r>
    </w:p>
    <w:p w14:paraId="10CBB4DC" w14:textId="77777777" w:rsidR="00BC6E9B" w:rsidRDefault="00000000">
      <w:pPr>
        <w:spacing w:after="4" w:line="249" w:lineRule="auto"/>
        <w:ind w:left="1838" w:hanging="10"/>
        <w:jc w:val="both"/>
      </w:pPr>
      <w:r>
        <w:rPr>
          <w:rFonts w:ascii="Arial" w:eastAsia="Arial" w:hAnsi="Arial" w:cs="Arial"/>
          <w:sz w:val="20"/>
        </w:rPr>
        <w:t xml:space="preserve">(RMS 47.743/DF, Rel. Ministro MAURO CAMPBELL MARQUES, SEGUNDA TURMA, julgado em 18/06/2015, DJe 26/06/2015) </w:t>
      </w:r>
    </w:p>
    <w:p w14:paraId="71E62426" w14:textId="77777777" w:rsidR="00BC6E9B" w:rsidRDefault="00000000">
      <w:pPr>
        <w:spacing w:after="2" w:line="236" w:lineRule="auto"/>
        <w:ind w:left="142" w:right="3635"/>
      </w:pPr>
      <w:r>
        <w:rPr>
          <w:rFonts w:ascii="Arial" w:eastAsia="Arial" w:hAnsi="Arial" w:cs="Arial"/>
          <w:sz w:val="20"/>
        </w:rPr>
        <w:t xml:space="preserve"> </w:t>
      </w:r>
      <w:r>
        <w:rPr>
          <w:rFonts w:ascii="Arial" w:eastAsia="Arial" w:hAnsi="Arial" w:cs="Arial"/>
        </w:rPr>
        <w:t xml:space="preserve"> </w:t>
      </w:r>
    </w:p>
    <w:p w14:paraId="2505C9E8" w14:textId="77777777" w:rsidR="00BC6E9B" w:rsidRPr="0002253F" w:rsidRDefault="00000000">
      <w:pPr>
        <w:numPr>
          <w:ilvl w:val="0"/>
          <w:numId w:val="9"/>
        </w:numPr>
        <w:spacing w:after="3" w:line="370" w:lineRule="auto"/>
        <w:ind w:hanging="10"/>
        <w:jc w:val="both"/>
        <w:rPr>
          <w:lang w:val="pt-BR"/>
        </w:rPr>
      </w:pPr>
      <w:r w:rsidRPr="0002253F">
        <w:rPr>
          <w:rFonts w:ascii="Arial" w:eastAsia="Arial" w:hAnsi="Arial" w:cs="Arial"/>
          <w:lang w:val="pt-BR"/>
        </w:rPr>
        <w:t>Cumpre ressaltar que a mesma exegese também se estende à isenção albergada pelo art. 6º, inciso XXI, da Lei nº 7.713, de 1988</w:t>
      </w:r>
      <w:r>
        <w:rPr>
          <w:rFonts w:ascii="Arial" w:eastAsia="Arial" w:hAnsi="Arial" w:cs="Arial"/>
          <w:vertAlign w:val="superscript"/>
        </w:rPr>
        <w:footnoteReference w:id="5"/>
      </w:r>
      <w:r w:rsidRPr="0002253F">
        <w:rPr>
          <w:rFonts w:ascii="Arial" w:eastAsia="Arial" w:hAnsi="Arial" w:cs="Arial"/>
          <w:lang w:val="pt-BR"/>
        </w:rPr>
        <w:t xml:space="preserve">, que diz respeito aos valores recebidos a título de pensão, quando o beneficiário do rendimento for portador de doença grave especificada no inciso XIV do mesmo dispositivo legal. É o que esclarecem os seguintes julgados: AgRg no AREsp 701.863/RS, REsp nº 1.521.624-PE, AREsp nº 399.462-RS.  </w:t>
      </w:r>
    </w:p>
    <w:p w14:paraId="6A1F85BF" w14:textId="77777777" w:rsidR="00BC6E9B" w:rsidRPr="0002253F" w:rsidRDefault="00000000">
      <w:pPr>
        <w:spacing w:after="105"/>
        <w:ind w:left="142"/>
        <w:rPr>
          <w:lang w:val="pt-BR"/>
        </w:rPr>
      </w:pPr>
      <w:r w:rsidRPr="0002253F">
        <w:rPr>
          <w:rFonts w:ascii="Arial" w:eastAsia="Arial" w:hAnsi="Arial" w:cs="Arial"/>
          <w:lang w:val="pt-BR"/>
        </w:rPr>
        <w:t xml:space="preserve"> </w:t>
      </w:r>
    </w:p>
    <w:p w14:paraId="565AE0A1" w14:textId="77777777" w:rsidR="00BC6E9B" w:rsidRPr="0002253F" w:rsidRDefault="00000000">
      <w:pPr>
        <w:numPr>
          <w:ilvl w:val="0"/>
          <w:numId w:val="9"/>
        </w:numPr>
        <w:spacing w:after="3" w:line="370" w:lineRule="auto"/>
        <w:ind w:hanging="10"/>
        <w:jc w:val="both"/>
        <w:rPr>
          <w:lang w:val="pt-BR"/>
        </w:rPr>
      </w:pPr>
      <w:r w:rsidRPr="0002253F">
        <w:rPr>
          <w:rFonts w:ascii="Arial" w:eastAsia="Arial" w:hAnsi="Arial" w:cs="Arial"/>
          <w:lang w:val="pt-BR"/>
        </w:rPr>
        <w:lastRenderedPageBreak/>
        <w:t>Por conseguinte, de acordo com a jurisprudência do STJ, para a concessão ou manutenção do benefício fiscal de que trata o art. 6º, incisos XIV e XXI, da Lei nº 7.713, de 1988, exige-se tão somente que os rendimentos sejam relativos à aposentadoria, pensão ou reforma, bem como que haja o diagnóstico das doenças indicadas expressamente no texto legal, não estando a isenção condicionada à demonstração da contemporaneidade dos sintomas, nem à indicação de validade do laudo pericial ou à comprovação de recidiva da enfermidade</w:t>
      </w:r>
      <w:r>
        <w:rPr>
          <w:rFonts w:ascii="Arial" w:eastAsia="Arial" w:hAnsi="Arial" w:cs="Arial"/>
          <w:vertAlign w:val="superscript"/>
        </w:rPr>
        <w:footnoteReference w:id="6"/>
      </w:r>
      <w:r w:rsidRPr="0002253F">
        <w:rPr>
          <w:rFonts w:ascii="Arial" w:eastAsia="Arial" w:hAnsi="Arial" w:cs="Arial"/>
          <w:lang w:val="pt-BR"/>
        </w:rPr>
        <w:t xml:space="preserve">. </w:t>
      </w:r>
    </w:p>
    <w:p w14:paraId="77685E12" w14:textId="77777777" w:rsidR="00BC6E9B" w:rsidRPr="0002253F" w:rsidRDefault="00000000">
      <w:pPr>
        <w:spacing w:after="103"/>
        <w:ind w:left="142"/>
        <w:rPr>
          <w:lang w:val="pt-BR"/>
        </w:rPr>
      </w:pPr>
      <w:r w:rsidRPr="0002253F">
        <w:rPr>
          <w:rFonts w:ascii="Arial" w:eastAsia="Arial" w:hAnsi="Arial" w:cs="Arial"/>
          <w:lang w:val="pt-BR"/>
        </w:rPr>
        <w:t xml:space="preserve"> </w:t>
      </w:r>
    </w:p>
    <w:p w14:paraId="79EDD3B8" w14:textId="77777777" w:rsidR="00BC6E9B" w:rsidRDefault="00000000">
      <w:pPr>
        <w:pStyle w:val="Heading1"/>
        <w:ind w:left="149"/>
      </w:pPr>
      <w:r>
        <w:t xml:space="preserve">III </w:t>
      </w:r>
    </w:p>
    <w:p w14:paraId="33E02B5C" w14:textId="77777777" w:rsidR="00BC6E9B" w:rsidRDefault="00000000">
      <w:pPr>
        <w:spacing w:after="106"/>
        <w:ind w:left="142"/>
      </w:pPr>
      <w:r>
        <w:rPr>
          <w:rFonts w:ascii="Arial" w:eastAsia="Arial" w:hAnsi="Arial" w:cs="Arial"/>
        </w:rPr>
        <w:t xml:space="preserve"> </w:t>
      </w:r>
    </w:p>
    <w:p w14:paraId="39EC4974" w14:textId="77777777" w:rsidR="00BC6E9B" w:rsidRPr="0002253F" w:rsidRDefault="00000000">
      <w:pPr>
        <w:numPr>
          <w:ilvl w:val="0"/>
          <w:numId w:val="10"/>
        </w:numPr>
        <w:spacing w:after="3" w:line="370" w:lineRule="auto"/>
        <w:ind w:hanging="10"/>
        <w:jc w:val="both"/>
        <w:rPr>
          <w:lang w:val="pt-BR"/>
        </w:rPr>
      </w:pPr>
      <w:r w:rsidRPr="0002253F">
        <w:rPr>
          <w:rFonts w:ascii="Arial" w:eastAsia="Arial" w:hAnsi="Arial" w:cs="Arial"/>
          <w:lang w:val="pt-BR"/>
        </w:rPr>
        <w:t xml:space="preserve">Dimana da leitura das decisões acima transcritas a jurisprudência reiterada e pacífica do STJ, contrária ao entendimento da Fazenda Nacional acerca da matéria.  </w:t>
      </w:r>
    </w:p>
    <w:p w14:paraId="38CAC999" w14:textId="77777777" w:rsidR="00BC6E9B" w:rsidRPr="0002253F" w:rsidRDefault="00000000">
      <w:pPr>
        <w:spacing w:after="0"/>
        <w:ind w:left="142"/>
        <w:rPr>
          <w:lang w:val="pt-BR"/>
        </w:rPr>
      </w:pPr>
      <w:r w:rsidRPr="0002253F">
        <w:rPr>
          <w:rFonts w:ascii="Arial" w:eastAsia="Arial" w:hAnsi="Arial" w:cs="Arial"/>
          <w:lang w:val="pt-BR"/>
        </w:rPr>
        <w:t xml:space="preserve"> </w:t>
      </w:r>
    </w:p>
    <w:p w14:paraId="56A4BFFB" w14:textId="77777777" w:rsidR="00BC6E9B" w:rsidRPr="0002253F" w:rsidRDefault="00000000">
      <w:pPr>
        <w:numPr>
          <w:ilvl w:val="0"/>
          <w:numId w:val="10"/>
        </w:numPr>
        <w:spacing w:after="3" w:line="370" w:lineRule="auto"/>
        <w:ind w:hanging="10"/>
        <w:jc w:val="both"/>
        <w:rPr>
          <w:lang w:val="pt-BR"/>
        </w:rPr>
      </w:pPr>
      <w:r w:rsidRPr="0002253F">
        <w:rPr>
          <w:rFonts w:ascii="Arial" w:eastAsia="Arial" w:hAnsi="Arial" w:cs="Arial"/>
          <w:lang w:val="pt-BR"/>
        </w:rPr>
        <w:t xml:space="preserve">Registre-se, em acréscimo, que os recursos extraordinários interpostos pela Fazenda Nacional têm sido inadmitidos sob o fundamento de que: (i) a controvérsia gravita em torno da interpretação do art. 6º, inciso XIV, da Lei nº 7.713, de 1988, do art. 30, § 1º, da Lei nº 9.250, de 1995, e do art. 39, §4º, do Decreto nº 3.000, de 1999, revestindo-se, portanto, de índole eminentemente infraconstitucional ou ofensa meramente reflexa à Constituição Federal; (ii) inexiste violação ao art. 97 da Constituição Federal e à Sumula Vinculante nº 10, porquanto não afastada a incidência da norma, ainda que implicitamente, com fundamento na CF/88; haveria, ainda, o óbice quanto ao reexame do contexto fáticoprobatório na via extraordinária, nos termos da Súmula 279/STF. A propósito, cumpre citar os seguintes precedentes: ARE 734.560/SP, ARE 786.757/PE, ARE 909.804/RS, ARE 866.676/RS e ARE 835.464/RS. </w:t>
      </w:r>
    </w:p>
    <w:p w14:paraId="0965F261" w14:textId="77777777" w:rsidR="00BC6E9B" w:rsidRPr="0002253F" w:rsidRDefault="00000000">
      <w:pPr>
        <w:spacing w:after="0"/>
        <w:ind w:left="142"/>
        <w:rPr>
          <w:lang w:val="pt-BR"/>
        </w:rPr>
      </w:pPr>
      <w:r w:rsidRPr="0002253F">
        <w:rPr>
          <w:rFonts w:ascii="Arial" w:eastAsia="Arial" w:hAnsi="Arial" w:cs="Arial"/>
          <w:b/>
          <w:lang w:val="pt-BR"/>
        </w:rPr>
        <w:t xml:space="preserve"> </w:t>
      </w:r>
    </w:p>
    <w:p w14:paraId="27101FD3" w14:textId="77777777" w:rsidR="00BC6E9B" w:rsidRPr="0002253F" w:rsidRDefault="00000000">
      <w:pPr>
        <w:numPr>
          <w:ilvl w:val="0"/>
          <w:numId w:val="10"/>
        </w:numPr>
        <w:spacing w:after="3" w:line="370" w:lineRule="auto"/>
        <w:ind w:hanging="10"/>
        <w:jc w:val="both"/>
        <w:rPr>
          <w:lang w:val="pt-BR"/>
        </w:rPr>
      </w:pPr>
      <w:r w:rsidRPr="0002253F">
        <w:rPr>
          <w:rFonts w:ascii="Arial" w:eastAsia="Arial" w:hAnsi="Arial" w:cs="Arial"/>
          <w:lang w:val="pt-BR"/>
        </w:rPr>
        <w:t xml:space="preserve">Por essas razões, impõe-se reconhecer que todos os argumentos que poderiam ser levantados em defesa dos interesses da União foram rechaçados pelo STJ nessa matéria, circunstância que conduz à conclusão quanto à impossibilidade de modificação do seu entendimento. </w:t>
      </w:r>
    </w:p>
    <w:p w14:paraId="30A1980D" w14:textId="77777777" w:rsidR="00BC6E9B" w:rsidRPr="0002253F" w:rsidRDefault="00000000">
      <w:pPr>
        <w:spacing w:after="0"/>
        <w:ind w:left="142"/>
        <w:rPr>
          <w:lang w:val="pt-BR"/>
        </w:rPr>
      </w:pPr>
      <w:r w:rsidRPr="0002253F">
        <w:rPr>
          <w:rFonts w:ascii="Arial" w:eastAsia="Arial" w:hAnsi="Arial" w:cs="Arial"/>
          <w:lang w:val="pt-BR"/>
        </w:rPr>
        <w:t xml:space="preserve"> </w:t>
      </w:r>
    </w:p>
    <w:p w14:paraId="4252FF9E" w14:textId="77777777" w:rsidR="00BC6E9B" w:rsidRPr="0002253F" w:rsidRDefault="00000000">
      <w:pPr>
        <w:numPr>
          <w:ilvl w:val="0"/>
          <w:numId w:val="10"/>
        </w:numPr>
        <w:spacing w:after="3" w:line="370" w:lineRule="auto"/>
        <w:ind w:hanging="10"/>
        <w:jc w:val="both"/>
        <w:rPr>
          <w:lang w:val="pt-BR"/>
        </w:rPr>
      </w:pPr>
      <w:r w:rsidRPr="0002253F">
        <w:rPr>
          <w:rFonts w:ascii="Arial" w:eastAsia="Arial" w:hAnsi="Arial" w:cs="Arial"/>
          <w:lang w:val="pt-BR"/>
        </w:rPr>
        <w:lastRenderedPageBreak/>
        <w:t xml:space="preserve">Nesses termos, não há dúvida de que as defesas e recursos que versem sobre o referido tema apenas sobrecarregarão o Poder Judiciário, sem qualquer perspectiva de sucesso para a Fazenda Nacional. Continuar insistindo em tal tese significaria apenas alocar os recursos colocados à disposição da Procuradoria-Geral da Fazenda Nacional em causas nas quais, previsivelmente, não se terá êxito.  </w:t>
      </w:r>
    </w:p>
    <w:p w14:paraId="05252286" w14:textId="77777777" w:rsidR="00BC6E9B" w:rsidRPr="0002253F" w:rsidRDefault="00000000">
      <w:pPr>
        <w:spacing w:after="0"/>
        <w:ind w:left="142"/>
        <w:rPr>
          <w:lang w:val="pt-BR"/>
        </w:rPr>
      </w:pPr>
      <w:r w:rsidRPr="0002253F">
        <w:rPr>
          <w:rFonts w:ascii="Arial" w:eastAsia="Arial" w:hAnsi="Arial" w:cs="Arial"/>
          <w:lang w:val="pt-BR"/>
        </w:rPr>
        <w:t xml:space="preserve"> </w:t>
      </w:r>
    </w:p>
    <w:p w14:paraId="7CAA2526" w14:textId="77777777" w:rsidR="00BC6E9B" w:rsidRPr="0002253F" w:rsidRDefault="00000000">
      <w:pPr>
        <w:numPr>
          <w:ilvl w:val="0"/>
          <w:numId w:val="10"/>
        </w:numPr>
        <w:spacing w:after="3" w:line="370" w:lineRule="auto"/>
        <w:ind w:hanging="10"/>
        <w:jc w:val="both"/>
        <w:rPr>
          <w:lang w:val="pt-BR"/>
        </w:rPr>
      </w:pPr>
      <w:r w:rsidRPr="0002253F">
        <w:rPr>
          <w:rFonts w:ascii="Arial" w:eastAsia="Arial" w:hAnsi="Arial" w:cs="Arial"/>
          <w:lang w:val="pt-BR"/>
        </w:rPr>
        <w:t>Diante dessa perspectiva, esta Procuradoria-Geral, com fulcro art. 2º, inciso I e § 1º, da Portaria PGFN nº 294, de 2010</w:t>
      </w:r>
      <w:r>
        <w:rPr>
          <w:rFonts w:ascii="Arial" w:eastAsia="Arial" w:hAnsi="Arial" w:cs="Arial"/>
          <w:vertAlign w:val="superscript"/>
        </w:rPr>
        <w:footnoteReference w:id="7"/>
      </w:r>
      <w:r w:rsidRPr="0002253F">
        <w:rPr>
          <w:rFonts w:ascii="Arial" w:eastAsia="Arial" w:hAnsi="Arial" w:cs="Arial"/>
          <w:lang w:val="pt-BR"/>
        </w:rPr>
        <w:t xml:space="preserve">, já autorizou a dispensa de interposição de recursos (e a desistência dos já interpostos) </w:t>
      </w:r>
      <w:r w:rsidRPr="0002253F">
        <w:rPr>
          <w:rFonts w:ascii="Arial" w:eastAsia="Arial" w:hAnsi="Arial" w:cs="Arial"/>
          <w:b/>
          <w:lang w:val="pt-BR"/>
        </w:rPr>
        <w:t>perante os Tribunais Regionais Federais, STJ ou STF,</w:t>
      </w:r>
      <w:r w:rsidRPr="0002253F">
        <w:rPr>
          <w:rFonts w:ascii="Arial" w:eastAsia="Arial" w:hAnsi="Arial" w:cs="Arial"/>
          <w:lang w:val="pt-BR"/>
        </w:rPr>
        <w:t xml:space="preserve"> nos termos da Nota PGFN/CRJ nº 863, de 2015. </w:t>
      </w:r>
    </w:p>
    <w:p w14:paraId="26602508" w14:textId="77777777" w:rsidR="00BC6E9B" w:rsidRPr="0002253F" w:rsidRDefault="00000000">
      <w:pPr>
        <w:spacing w:after="108"/>
        <w:ind w:left="142"/>
        <w:rPr>
          <w:lang w:val="pt-BR"/>
        </w:rPr>
      </w:pPr>
      <w:r w:rsidRPr="0002253F">
        <w:rPr>
          <w:rFonts w:ascii="Arial" w:eastAsia="Arial" w:hAnsi="Arial" w:cs="Arial"/>
          <w:lang w:val="pt-BR"/>
        </w:rPr>
        <w:t xml:space="preserve"> </w:t>
      </w:r>
    </w:p>
    <w:p w14:paraId="5179720E" w14:textId="77777777" w:rsidR="00BC6E9B" w:rsidRDefault="00000000">
      <w:pPr>
        <w:numPr>
          <w:ilvl w:val="0"/>
          <w:numId w:val="10"/>
        </w:numPr>
        <w:spacing w:after="3" w:line="370" w:lineRule="auto"/>
        <w:ind w:hanging="10"/>
        <w:jc w:val="both"/>
      </w:pPr>
      <w:r w:rsidRPr="0002253F">
        <w:rPr>
          <w:rFonts w:ascii="Arial" w:eastAsia="Arial" w:hAnsi="Arial" w:cs="Arial"/>
          <w:lang w:val="pt-BR"/>
        </w:rPr>
        <w:t>Portanto, cumpre perquirir se, com fundamento no art. 19, inciso II, da Lei n</w:t>
      </w:r>
      <w:r w:rsidRPr="0002253F">
        <w:rPr>
          <w:rFonts w:ascii="Arial" w:eastAsia="Arial" w:hAnsi="Arial" w:cs="Arial"/>
          <w:strike/>
          <w:lang w:val="pt-BR"/>
        </w:rPr>
        <w:t>º</w:t>
      </w:r>
      <w:r w:rsidRPr="0002253F">
        <w:rPr>
          <w:rFonts w:ascii="Arial" w:eastAsia="Arial" w:hAnsi="Arial" w:cs="Arial"/>
          <w:lang w:val="pt-BR"/>
        </w:rPr>
        <w:t xml:space="preserve"> 10.522, de 2002, e no art. 5</w:t>
      </w:r>
      <w:r w:rsidRPr="0002253F">
        <w:rPr>
          <w:rFonts w:ascii="Arial" w:eastAsia="Arial" w:hAnsi="Arial" w:cs="Arial"/>
          <w:strike/>
          <w:lang w:val="pt-BR"/>
        </w:rPr>
        <w:t>°</w:t>
      </w:r>
      <w:r w:rsidRPr="0002253F">
        <w:rPr>
          <w:rFonts w:ascii="Arial" w:eastAsia="Arial" w:hAnsi="Arial" w:cs="Arial"/>
          <w:lang w:val="pt-BR"/>
        </w:rPr>
        <w:t xml:space="preserve"> do Decreto n</w:t>
      </w:r>
      <w:r w:rsidRPr="0002253F">
        <w:rPr>
          <w:rFonts w:ascii="Arial" w:eastAsia="Arial" w:hAnsi="Arial" w:cs="Arial"/>
          <w:strike/>
          <w:lang w:val="pt-BR"/>
        </w:rPr>
        <w:t>º</w:t>
      </w:r>
      <w:r w:rsidRPr="0002253F">
        <w:rPr>
          <w:rFonts w:ascii="Arial" w:eastAsia="Arial" w:hAnsi="Arial" w:cs="Arial"/>
          <w:lang w:val="pt-BR"/>
        </w:rPr>
        <w:t xml:space="preserve"> 2.346, de 1997, é o caso de ser editado ato declaratório do Procurador-Geral da Fazenda Nacional, com o </w:t>
      </w:r>
      <w:r w:rsidRPr="0002253F">
        <w:rPr>
          <w:rFonts w:ascii="Arial" w:eastAsia="Arial" w:hAnsi="Arial" w:cs="Arial"/>
          <w:b/>
          <w:lang w:val="pt-BR"/>
        </w:rPr>
        <w:t>intuito de autorizar a ampla dispensa de contestação e recursos sobre a matéria</w:t>
      </w:r>
      <w:r w:rsidRPr="0002253F">
        <w:rPr>
          <w:rFonts w:ascii="Arial" w:eastAsia="Arial" w:hAnsi="Arial" w:cs="Arial"/>
          <w:lang w:val="pt-BR"/>
        </w:rPr>
        <w:t>, bem como a desistência dos já interpostos, no âmbito desta Procuradoria-Geral da Fazenda Nacional, com a consequente vinculação das atividades administrativas a cargo da Receita Federal do Brasil</w:t>
      </w:r>
      <w:r w:rsidRPr="0002253F">
        <w:rPr>
          <w:rFonts w:ascii="Arial" w:eastAsia="Arial" w:hAnsi="Arial" w:cs="Arial"/>
          <w:vertAlign w:val="superscript"/>
          <w:lang w:val="pt-BR"/>
        </w:rPr>
        <w:t>11</w:t>
      </w:r>
      <w:r w:rsidRPr="0002253F">
        <w:rPr>
          <w:rFonts w:ascii="Arial" w:eastAsia="Arial" w:hAnsi="Arial" w:cs="Arial"/>
          <w:lang w:val="pt-BR"/>
        </w:rPr>
        <w:t xml:space="preserve">. </w:t>
      </w:r>
      <w:r>
        <w:rPr>
          <w:rFonts w:ascii="Arial" w:eastAsia="Arial" w:hAnsi="Arial" w:cs="Arial"/>
        </w:rPr>
        <w:t xml:space="preserve">Eis a dicção dos dispositivos legais mencionados:  </w:t>
      </w:r>
    </w:p>
    <w:p w14:paraId="3B196E3C" w14:textId="77777777" w:rsidR="00BC6E9B" w:rsidRDefault="00000000">
      <w:pPr>
        <w:spacing w:after="0"/>
        <w:ind w:left="2410"/>
      </w:pPr>
      <w:r>
        <w:rPr>
          <w:rFonts w:ascii="Arial" w:eastAsia="Arial" w:hAnsi="Arial" w:cs="Arial"/>
        </w:rPr>
        <w:t xml:space="preserve"> </w:t>
      </w:r>
    </w:p>
    <w:p w14:paraId="59A6C3E5" w14:textId="77777777" w:rsidR="00BC6E9B" w:rsidRPr="0002253F" w:rsidRDefault="00000000">
      <w:pPr>
        <w:spacing w:after="4" w:line="249" w:lineRule="auto"/>
        <w:ind w:left="1570" w:hanging="10"/>
        <w:jc w:val="both"/>
        <w:rPr>
          <w:lang w:val="pt-BR"/>
        </w:rPr>
      </w:pPr>
      <w:r w:rsidRPr="0002253F">
        <w:rPr>
          <w:rFonts w:ascii="Arial" w:eastAsia="Arial" w:hAnsi="Arial" w:cs="Arial"/>
          <w:sz w:val="20"/>
          <w:lang w:val="pt-BR"/>
        </w:rPr>
        <w:t xml:space="preserve">Art. 19. Fica a Procuradoria-Geral da Fazenda Nacional autorizada a não contestar, a não interpor recurso ou a desistir do que tenha sido interposto, desde que inexista outro fundamento relevante, na hipótese de a decisão versar sobre: </w:t>
      </w:r>
      <w:r w:rsidRPr="0002253F">
        <w:rPr>
          <w:rFonts w:ascii="Arial" w:eastAsia="Arial" w:hAnsi="Arial" w:cs="Arial"/>
          <w:color w:val="0000FF"/>
          <w:sz w:val="20"/>
          <w:u w:val="single" w:color="0000FF"/>
          <w:lang w:val="pt-BR"/>
        </w:rPr>
        <w:t>(Redação dada</w:t>
      </w:r>
      <w:r w:rsidRPr="0002253F">
        <w:rPr>
          <w:rFonts w:ascii="Arial" w:eastAsia="Arial" w:hAnsi="Arial" w:cs="Arial"/>
          <w:color w:val="0000FF"/>
          <w:sz w:val="20"/>
          <w:lang w:val="pt-BR"/>
        </w:rPr>
        <w:t xml:space="preserve"> </w:t>
      </w:r>
      <w:r w:rsidRPr="0002253F">
        <w:rPr>
          <w:rFonts w:ascii="Arial" w:eastAsia="Arial" w:hAnsi="Arial" w:cs="Arial"/>
          <w:color w:val="0000FF"/>
          <w:sz w:val="20"/>
          <w:u w:val="single" w:color="0000FF"/>
          <w:lang w:val="pt-BR"/>
        </w:rPr>
        <w:t>pela Lei nº 11.033, de 2004)</w:t>
      </w:r>
      <w:r w:rsidRPr="0002253F">
        <w:rPr>
          <w:rFonts w:ascii="Times New Roman" w:eastAsia="Times New Roman" w:hAnsi="Times New Roman" w:cs="Times New Roman"/>
          <w:sz w:val="20"/>
          <w:lang w:val="pt-BR"/>
        </w:rPr>
        <w:t xml:space="preserve"> </w:t>
      </w:r>
    </w:p>
    <w:p w14:paraId="6DB608B2" w14:textId="77777777" w:rsidR="00BC6E9B" w:rsidRPr="0002253F" w:rsidRDefault="00000000">
      <w:pPr>
        <w:spacing w:after="4" w:line="249" w:lineRule="auto"/>
        <w:ind w:left="1570" w:hanging="10"/>
        <w:jc w:val="both"/>
        <w:rPr>
          <w:lang w:val="pt-BR"/>
        </w:rPr>
      </w:pPr>
      <w:r w:rsidRPr="0002253F">
        <w:rPr>
          <w:rFonts w:ascii="Arial" w:eastAsia="Arial" w:hAnsi="Arial" w:cs="Arial"/>
          <w:sz w:val="20"/>
          <w:lang w:val="pt-BR"/>
        </w:rPr>
        <w:t>(...)</w:t>
      </w:r>
      <w:r w:rsidRPr="0002253F">
        <w:rPr>
          <w:rFonts w:ascii="Times New Roman" w:eastAsia="Times New Roman" w:hAnsi="Times New Roman" w:cs="Times New Roman"/>
          <w:sz w:val="20"/>
          <w:lang w:val="pt-BR"/>
        </w:rPr>
        <w:t xml:space="preserve"> </w:t>
      </w:r>
    </w:p>
    <w:p w14:paraId="7B789311" w14:textId="77777777" w:rsidR="00BC6E9B" w:rsidRPr="0002253F" w:rsidRDefault="00000000">
      <w:pPr>
        <w:spacing w:after="4" w:line="249" w:lineRule="auto"/>
        <w:ind w:left="1570" w:hanging="10"/>
        <w:jc w:val="both"/>
        <w:rPr>
          <w:lang w:val="pt-BR"/>
        </w:rPr>
      </w:pPr>
      <w:r w:rsidRPr="0002253F">
        <w:rPr>
          <w:rFonts w:ascii="Arial" w:eastAsia="Arial" w:hAnsi="Arial" w:cs="Arial"/>
          <w:sz w:val="20"/>
          <w:lang w:val="pt-BR"/>
        </w:rPr>
        <w:t xml:space="preserve">II - matérias que, em virtude de jurisprudência pacífica do Supremo Tribunal Federal, do Superior Tribunal de Justiça, do Tribunal Superior do Trabalho e do Tribunal Superior Eleitoral, sejam objeto de ato declaratório do Procurador-Geral da Fazenda Nacional, aprovado pelo Ministro de Estado da Fazenda; </w:t>
      </w:r>
      <w:r w:rsidRPr="0002253F">
        <w:rPr>
          <w:rFonts w:ascii="Arial" w:eastAsia="Arial" w:hAnsi="Arial" w:cs="Arial"/>
          <w:color w:val="0000FF"/>
          <w:sz w:val="20"/>
          <w:u w:val="single" w:color="0000FF"/>
          <w:lang w:val="pt-BR"/>
        </w:rPr>
        <w:t>(Redação dada pela Lei nº</w:t>
      </w:r>
      <w:r w:rsidRPr="0002253F">
        <w:rPr>
          <w:rFonts w:ascii="Arial" w:eastAsia="Arial" w:hAnsi="Arial" w:cs="Arial"/>
          <w:color w:val="0000FF"/>
          <w:sz w:val="20"/>
          <w:lang w:val="pt-BR"/>
        </w:rPr>
        <w:t xml:space="preserve"> </w:t>
      </w:r>
    </w:p>
    <w:p w14:paraId="5BAEDD7F" w14:textId="77777777" w:rsidR="00BC6E9B" w:rsidRPr="0002253F" w:rsidRDefault="00000000">
      <w:pPr>
        <w:spacing w:after="0"/>
        <w:ind w:left="1560"/>
        <w:rPr>
          <w:lang w:val="pt-BR"/>
        </w:rPr>
      </w:pPr>
      <w:r w:rsidRPr="0002253F">
        <w:rPr>
          <w:rFonts w:ascii="Arial" w:eastAsia="Arial" w:hAnsi="Arial" w:cs="Arial"/>
          <w:color w:val="0000FF"/>
          <w:sz w:val="20"/>
          <w:u w:val="single" w:color="0000FF"/>
          <w:lang w:val="pt-BR"/>
        </w:rPr>
        <w:t>12.844, de 2013)</w:t>
      </w:r>
      <w:r w:rsidRPr="0002253F">
        <w:rPr>
          <w:rFonts w:ascii="Arial" w:eastAsia="Arial" w:hAnsi="Arial" w:cs="Arial"/>
          <w:sz w:val="20"/>
          <w:lang w:val="pt-BR"/>
        </w:rPr>
        <w:t xml:space="preserve"> </w:t>
      </w:r>
    </w:p>
    <w:p w14:paraId="5E7447BF" w14:textId="77777777" w:rsidR="00BC6E9B" w:rsidRPr="0002253F" w:rsidRDefault="00000000">
      <w:pPr>
        <w:spacing w:after="0"/>
        <w:ind w:left="1560"/>
        <w:rPr>
          <w:lang w:val="pt-BR"/>
        </w:rPr>
      </w:pPr>
      <w:r w:rsidRPr="0002253F">
        <w:rPr>
          <w:rFonts w:ascii="Times New Roman" w:eastAsia="Times New Roman" w:hAnsi="Times New Roman" w:cs="Times New Roman"/>
          <w:sz w:val="20"/>
          <w:lang w:val="pt-BR"/>
        </w:rPr>
        <w:t xml:space="preserve"> </w:t>
      </w:r>
    </w:p>
    <w:p w14:paraId="2DF158D5" w14:textId="77777777" w:rsidR="00BC6E9B" w:rsidRPr="0002253F" w:rsidRDefault="00000000">
      <w:pPr>
        <w:spacing w:after="4" w:line="249" w:lineRule="auto"/>
        <w:ind w:left="1570" w:hanging="10"/>
        <w:jc w:val="both"/>
        <w:rPr>
          <w:lang w:val="pt-BR"/>
        </w:rPr>
      </w:pPr>
      <w:r w:rsidRPr="0002253F">
        <w:rPr>
          <w:rFonts w:ascii="Arial" w:eastAsia="Arial" w:hAnsi="Arial" w:cs="Arial"/>
          <w:sz w:val="20"/>
          <w:lang w:val="pt-BR"/>
        </w:rPr>
        <w:t xml:space="preserve"> Art. 5</w:t>
      </w:r>
      <w:r w:rsidRPr="0002253F">
        <w:rPr>
          <w:rFonts w:ascii="Arial" w:eastAsia="Arial" w:hAnsi="Arial" w:cs="Arial"/>
          <w:strike/>
          <w:sz w:val="20"/>
          <w:lang w:val="pt-BR"/>
        </w:rPr>
        <w:t>º</w:t>
      </w:r>
      <w:r w:rsidRPr="0002253F">
        <w:rPr>
          <w:rFonts w:ascii="Arial" w:eastAsia="Arial" w:hAnsi="Arial" w:cs="Arial"/>
          <w:sz w:val="20"/>
          <w:lang w:val="pt-BR"/>
        </w:rPr>
        <w:t xml:space="preserve"> Nas causas em que a representação da União competir à Procuradoria-Geral da Fazenda Nacional havendo manifestação jurisprudencial reiterada e uniforme e decisões definitivas do Supremo Tribunal Federal ou do Superior Tribunal de Justiça, </w:t>
      </w:r>
      <w:r w:rsidRPr="0002253F">
        <w:rPr>
          <w:rFonts w:ascii="Arial" w:eastAsia="Arial" w:hAnsi="Arial" w:cs="Arial"/>
          <w:sz w:val="20"/>
          <w:lang w:val="pt-BR"/>
        </w:rPr>
        <w:lastRenderedPageBreak/>
        <w:t>em suas respectivas áreas de competência, fica o Procurador-Geral da Fazenda Nacional autorizado a declarar, mediante parecer fundamentado, aprovado pelo Ministro de Estado da Fazenda, as matérias em relação às quais é de ser dispensada a apresentação de recursos.</w:t>
      </w:r>
      <w:r w:rsidRPr="0002253F">
        <w:rPr>
          <w:rFonts w:ascii="Arial" w:eastAsia="Arial" w:hAnsi="Arial" w:cs="Arial"/>
          <w:lang w:val="pt-BR"/>
        </w:rPr>
        <w:t xml:space="preserve"> </w:t>
      </w:r>
    </w:p>
    <w:p w14:paraId="1EE9B32E" w14:textId="77777777" w:rsidR="00BC6E9B" w:rsidRPr="0002253F" w:rsidRDefault="00000000">
      <w:pPr>
        <w:spacing w:after="0"/>
        <w:ind w:left="142"/>
        <w:rPr>
          <w:lang w:val="pt-BR"/>
        </w:rPr>
      </w:pPr>
      <w:r w:rsidRPr="0002253F">
        <w:rPr>
          <w:rFonts w:ascii="Arial" w:eastAsia="Arial" w:hAnsi="Arial" w:cs="Arial"/>
          <w:lang w:val="pt-BR"/>
        </w:rPr>
        <w:t xml:space="preserve"> </w:t>
      </w:r>
    </w:p>
    <w:p w14:paraId="068BB059" w14:textId="77777777" w:rsidR="00BC6E9B" w:rsidRPr="0002253F" w:rsidRDefault="00000000">
      <w:pPr>
        <w:numPr>
          <w:ilvl w:val="0"/>
          <w:numId w:val="10"/>
        </w:numPr>
        <w:spacing w:after="3" w:line="370" w:lineRule="auto"/>
        <w:ind w:hanging="10"/>
        <w:jc w:val="both"/>
        <w:rPr>
          <w:lang w:val="pt-BR"/>
        </w:rPr>
      </w:pPr>
      <w:r w:rsidRPr="0002253F">
        <w:rPr>
          <w:rFonts w:ascii="Arial" w:eastAsia="Arial" w:hAnsi="Arial" w:cs="Arial"/>
          <w:lang w:val="pt-BR"/>
        </w:rPr>
        <w:t xml:space="preserve">Decorre dos preceitos legais acima reproduzidos que o Procurador-Geral da Fazenda Nacional, mediante ato declaratório a ser aprovado pelo Ministro de Estado da Fazenda, poderá dispensar a interposição de recursos ou a desistência dos que tenham sido interpostos, bem como autorizar a não apresentação de contestação, desde que, em qualquer caso, inexista outro fundamento relevante, quando observados os seguintes requisitos: </w:t>
      </w:r>
    </w:p>
    <w:p w14:paraId="37F9087F" w14:textId="77777777" w:rsidR="00BC6E9B" w:rsidRPr="0002253F" w:rsidRDefault="00000000">
      <w:pPr>
        <w:spacing w:after="106"/>
        <w:ind w:left="142"/>
        <w:rPr>
          <w:lang w:val="pt-BR"/>
        </w:rPr>
      </w:pPr>
      <w:r w:rsidRPr="0002253F">
        <w:rPr>
          <w:rFonts w:ascii="Arial" w:eastAsia="Arial" w:hAnsi="Arial" w:cs="Arial"/>
          <w:lang w:val="pt-BR"/>
        </w:rPr>
        <w:t xml:space="preserve"> </w:t>
      </w:r>
    </w:p>
    <w:p w14:paraId="67C7B285" w14:textId="77777777" w:rsidR="00BC6E9B" w:rsidRPr="0002253F" w:rsidRDefault="00000000">
      <w:pPr>
        <w:numPr>
          <w:ilvl w:val="1"/>
          <w:numId w:val="11"/>
        </w:numPr>
        <w:spacing w:after="110" w:line="370" w:lineRule="auto"/>
        <w:ind w:hanging="10"/>
        <w:jc w:val="both"/>
        <w:rPr>
          <w:lang w:val="pt-BR"/>
        </w:rPr>
      </w:pPr>
      <w:r w:rsidRPr="0002253F">
        <w:rPr>
          <w:rFonts w:ascii="Arial" w:eastAsia="Arial" w:hAnsi="Arial" w:cs="Arial"/>
          <w:lang w:val="pt-BR"/>
        </w:rPr>
        <w:t xml:space="preserve">a Procuradoria-Geral da Fazenda Nacional tenha competência para representar judicialmente a União nas respectivas causas; e </w:t>
      </w:r>
    </w:p>
    <w:p w14:paraId="731895F8" w14:textId="77777777" w:rsidR="00BC6E9B" w:rsidRPr="0002253F" w:rsidRDefault="00000000">
      <w:pPr>
        <w:numPr>
          <w:ilvl w:val="1"/>
          <w:numId w:val="11"/>
        </w:numPr>
        <w:spacing w:after="110" w:line="370" w:lineRule="auto"/>
        <w:ind w:hanging="10"/>
        <w:jc w:val="both"/>
        <w:rPr>
          <w:lang w:val="pt-BR"/>
        </w:rPr>
      </w:pPr>
      <w:r w:rsidRPr="0002253F">
        <w:rPr>
          <w:rFonts w:ascii="Arial" w:eastAsia="Arial" w:hAnsi="Arial" w:cs="Arial"/>
          <w:lang w:val="pt-BR"/>
        </w:rPr>
        <w:t xml:space="preserve">haja decisão definitiva do Supremo Tribunal Federal, do Superior Tribunal de Justiça, do Tribunal Superior do Trabalho e do Tribunal Superior Eleitoral, em suas respectivas áreas de competência.  </w:t>
      </w:r>
    </w:p>
    <w:p w14:paraId="113E3C63" w14:textId="77777777" w:rsidR="00BC6E9B" w:rsidRPr="0002253F" w:rsidRDefault="00000000">
      <w:pPr>
        <w:spacing w:after="105"/>
        <w:ind w:left="142"/>
        <w:rPr>
          <w:lang w:val="pt-BR"/>
        </w:rPr>
      </w:pPr>
      <w:r w:rsidRPr="0002253F">
        <w:rPr>
          <w:rFonts w:ascii="Arial" w:eastAsia="Arial" w:hAnsi="Arial" w:cs="Arial"/>
          <w:lang w:val="pt-BR"/>
        </w:rPr>
        <w:t xml:space="preserve"> </w:t>
      </w:r>
    </w:p>
    <w:p w14:paraId="1B9F6E05" w14:textId="77777777" w:rsidR="00BC6E9B" w:rsidRPr="0002253F" w:rsidRDefault="00000000">
      <w:pPr>
        <w:numPr>
          <w:ilvl w:val="0"/>
          <w:numId w:val="10"/>
        </w:numPr>
        <w:spacing w:after="3" w:line="370" w:lineRule="auto"/>
        <w:ind w:hanging="10"/>
        <w:jc w:val="both"/>
        <w:rPr>
          <w:lang w:val="pt-BR"/>
        </w:rPr>
      </w:pPr>
      <w:r w:rsidRPr="0002253F">
        <w:rPr>
          <w:rFonts w:ascii="Arial" w:eastAsia="Arial" w:hAnsi="Arial" w:cs="Arial"/>
          <w:lang w:val="pt-BR"/>
        </w:rPr>
        <w:t>Examinando-se a hipótese vertente, conclui-se que: i) nas causas em que se discute a isenção do Imposto de Renda sobre os proventos de aposentadoria, reforma ou pensão, percebidos por portadores de moléstias graves, nos termos do art. 6º, incisos XIV e XXI, da Lei nº 7.713, de 1988, como na hipótese objeto deste Parecer, a competência para representar a União é da Procuradoria-Geral da Fazenda Nacional, já que se trata de matéria fiscal (art. 12 da Lei Complementar n</w:t>
      </w:r>
      <w:r w:rsidRPr="0002253F">
        <w:rPr>
          <w:rFonts w:ascii="Arial" w:eastAsia="Arial" w:hAnsi="Arial" w:cs="Arial"/>
          <w:strike/>
          <w:lang w:val="pt-BR"/>
        </w:rPr>
        <w:t>º</w:t>
      </w:r>
      <w:r w:rsidRPr="0002253F">
        <w:rPr>
          <w:rFonts w:ascii="Arial" w:eastAsia="Arial" w:hAnsi="Arial" w:cs="Arial"/>
          <w:lang w:val="pt-BR"/>
        </w:rPr>
        <w:t xml:space="preserve"> 73, de 10 de fevereiro de 1993); e ii) as decisões, citadas exemplificativamente ao longo deste Parecer, manifestam a reiterada e pacífica jurisprudência do STJ no sentido reconhecer a isenção do Imposto de Renda nos termos acima delineados. </w:t>
      </w:r>
    </w:p>
    <w:p w14:paraId="4E4C774E" w14:textId="77777777" w:rsidR="00BC6E9B" w:rsidRPr="0002253F" w:rsidRDefault="00000000">
      <w:pPr>
        <w:spacing w:after="105"/>
        <w:ind w:left="142"/>
        <w:rPr>
          <w:lang w:val="pt-BR"/>
        </w:rPr>
      </w:pPr>
      <w:r w:rsidRPr="0002253F">
        <w:rPr>
          <w:rFonts w:ascii="Arial" w:eastAsia="Arial" w:hAnsi="Arial" w:cs="Arial"/>
          <w:lang w:val="pt-BR"/>
        </w:rPr>
        <w:t xml:space="preserve"> </w:t>
      </w:r>
    </w:p>
    <w:p w14:paraId="6689BBBB" w14:textId="77777777" w:rsidR="00BC6E9B" w:rsidRPr="0002253F" w:rsidRDefault="00000000">
      <w:pPr>
        <w:numPr>
          <w:ilvl w:val="0"/>
          <w:numId w:val="10"/>
        </w:numPr>
        <w:spacing w:after="3" w:line="370" w:lineRule="auto"/>
        <w:ind w:hanging="10"/>
        <w:jc w:val="both"/>
        <w:rPr>
          <w:lang w:val="pt-BR"/>
        </w:rPr>
      </w:pPr>
      <w:r w:rsidRPr="0002253F">
        <w:rPr>
          <w:rFonts w:ascii="Arial" w:eastAsia="Arial" w:hAnsi="Arial" w:cs="Arial"/>
          <w:lang w:val="pt-BR"/>
        </w:rPr>
        <w:t xml:space="preserve">Destarte, há base legal para a edição de ato declaratório do Procurador-Geral da Fazenda Nacional, a ser aprovado pelo Ministro de Estado da Fazenda, que autorize a Procuradoria-Geral da Fazenda Nacional a não contestar, a não interpor recursos ou a desistir do que tenha sido interposto, no tocante à matéria objeto da presente manifestação.  </w:t>
      </w:r>
    </w:p>
    <w:p w14:paraId="4CF3F150" w14:textId="77777777" w:rsidR="00BC6E9B" w:rsidRPr="0002253F" w:rsidRDefault="00000000">
      <w:pPr>
        <w:spacing w:after="105"/>
        <w:ind w:left="142"/>
        <w:rPr>
          <w:lang w:val="pt-BR"/>
        </w:rPr>
      </w:pPr>
      <w:r w:rsidRPr="0002253F">
        <w:rPr>
          <w:rFonts w:ascii="Arial" w:eastAsia="Arial" w:hAnsi="Arial" w:cs="Arial"/>
          <w:lang w:val="pt-BR"/>
        </w:rPr>
        <w:t xml:space="preserve"> </w:t>
      </w:r>
    </w:p>
    <w:p w14:paraId="457D77FB" w14:textId="77777777" w:rsidR="00BC6E9B" w:rsidRPr="0002253F" w:rsidRDefault="00000000">
      <w:pPr>
        <w:numPr>
          <w:ilvl w:val="0"/>
          <w:numId w:val="10"/>
        </w:numPr>
        <w:spacing w:after="3" w:line="370" w:lineRule="auto"/>
        <w:ind w:hanging="10"/>
        <w:jc w:val="both"/>
        <w:rPr>
          <w:lang w:val="pt-BR"/>
        </w:rPr>
      </w:pPr>
      <w:r w:rsidRPr="0002253F">
        <w:rPr>
          <w:rFonts w:ascii="Arial" w:eastAsia="Arial" w:hAnsi="Arial" w:cs="Arial"/>
          <w:lang w:val="pt-BR"/>
        </w:rPr>
        <w:t xml:space="preserve">Por fim, merece ser ressaltado que o presente Parecer não implica, em hipótese alguma, o reconhecimento da correção da tese adotada pelo STJ. O que se reconhece é a pacífica jurisprudência desse Tribunal Superior, a recomendar a não apresentação de contestação, a não interposição de recursos e a desistência dos já interpostos, uma vez que tais defesas </w:t>
      </w:r>
      <w:r w:rsidRPr="0002253F">
        <w:rPr>
          <w:rFonts w:ascii="Arial" w:eastAsia="Arial" w:hAnsi="Arial" w:cs="Arial"/>
          <w:lang w:val="pt-BR"/>
        </w:rPr>
        <w:lastRenderedPageBreak/>
        <w:t xml:space="preserve">mostrar-se-ão inúteis e apenas sobrecarregarão o Poder Judiciário e a própria Procuradoria-Geral da Fazenda Nacional.  </w:t>
      </w:r>
    </w:p>
    <w:p w14:paraId="7970C3ED" w14:textId="77777777" w:rsidR="00BC6E9B" w:rsidRPr="0002253F" w:rsidRDefault="00000000">
      <w:pPr>
        <w:spacing w:after="103"/>
        <w:ind w:left="142"/>
        <w:rPr>
          <w:lang w:val="pt-BR"/>
        </w:rPr>
      </w:pPr>
      <w:r w:rsidRPr="0002253F">
        <w:rPr>
          <w:rFonts w:ascii="Arial" w:eastAsia="Arial" w:hAnsi="Arial" w:cs="Arial"/>
          <w:lang w:val="pt-BR"/>
        </w:rPr>
        <w:t xml:space="preserve"> </w:t>
      </w:r>
    </w:p>
    <w:p w14:paraId="761962F1" w14:textId="77777777" w:rsidR="00BC6E9B" w:rsidRDefault="00000000">
      <w:pPr>
        <w:pStyle w:val="Heading1"/>
        <w:ind w:left="149" w:right="3"/>
      </w:pPr>
      <w:r>
        <w:t xml:space="preserve">IV </w:t>
      </w:r>
    </w:p>
    <w:p w14:paraId="46F59D87" w14:textId="77777777" w:rsidR="00BC6E9B" w:rsidRDefault="00000000">
      <w:pPr>
        <w:spacing w:after="105"/>
        <w:ind w:left="142"/>
      </w:pPr>
      <w:r>
        <w:rPr>
          <w:rFonts w:ascii="Arial" w:eastAsia="Arial" w:hAnsi="Arial" w:cs="Arial"/>
        </w:rPr>
        <w:t xml:space="preserve"> </w:t>
      </w:r>
    </w:p>
    <w:p w14:paraId="57A9261F" w14:textId="77777777" w:rsidR="00BC6E9B" w:rsidRPr="0002253F" w:rsidRDefault="00000000">
      <w:pPr>
        <w:numPr>
          <w:ilvl w:val="0"/>
          <w:numId w:val="12"/>
        </w:numPr>
        <w:spacing w:after="3" w:line="370" w:lineRule="auto"/>
        <w:ind w:hanging="10"/>
        <w:jc w:val="both"/>
        <w:rPr>
          <w:lang w:val="pt-BR"/>
        </w:rPr>
      </w:pPr>
      <w:r w:rsidRPr="0002253F">
        <w:rPr>
          <w:rFonts w:ascii="Arial" w:eastAsia="Arial" w:hAnsi="Arial" w:cs="Arial"/>
          <w:lang w:val="pt-BR"/>
        </w:rPr>
        <w:t>Assim, presentes os pressupostos estabelecidos pelo art. 19, inciso II, da Lei n</w:t>
      </w:r>
      <w:r w:rsidRPr="0002253F">
        <w:rPr>
          <w:rFonts w:ascii="Arial" w:eastAsia="Arial" w:hAnsi="Arial" w:cs="Arial"/>
          <w:strike/>
          <w:lang w:val="pt-BR"/>
        </w:rPr>
        <w:t>º</w:t>
      </w:r>
      <w:r w:rsidRPr="0002253F">
        <w:rPr>
          <w:rFonts w:ascii="Arial" w:eastAsia="Arial" w:hAnsi="Arial" w:cs="Arial"/>
          <w:lang w:val="pt-BR"/>
        </w:rPr>
        <w:t xml:space="preserve"> 10.522, de 2002, c/c o art. 5</w:t>
      </w:r>
      <w:r w:rsidRPr="0002253F">
        <w:rPr>
          <w:rFonts w:ascii="Arial" w:eastAsia="Arial" w:hAnsi="Arial" w:cs="Arial"/>
          <w:strike/>
          <w:lang w:val="pt-BR"/>
        </w:rPr>
        <w:t>º</w:t>
      </w:r>
      <w:r w:rsidRPr="0002253F">
        <w:rPr>
          <w:rFonts w:ascii="Arial" w:eastAsia="Arial" w:hAnsi="Arial" w:cs="Arial"/>
          <w:lang w:val="pt-BR"/>
        </w:rPr>
        <w:t xml:space="preserve"> do Decreto n</w:t>
      </w:r>
      <w:r w:rsidRPr="0002253F">
        <w:rPr>
          <w:rFonts w:ascii="Arial" w:eastAsia="Arial" w:hAnsi="Arial" w:cs="Arial"/>
          <w:strike/>
          <w:lang w:val="pt-BR"/>
        </w:rPr>
        <w:t>º</w:t>
      </w:r>
      <w:r w:rsidRPr="0002253F">
        <w:rPr>
          <w:rFonts w:ascii="Arial" w:eastAsia="Arial" w:hAnsi="Arial" w:cs="Arial"/>
          <w:lang w:val="pt-BR"/>
        </w:rPr>
        <w:t xml:space="preserve"> 2.346, de 1997, recomenda-se que o Procurador-Geral da Fazenda Nacional autorize a não apresentação de contestação, a não interposição de recursos e a desistência dos já interpostos, desde que inexista outro fundamento relevante, nas ações judiciais fundadas no entendimento de que a isenção do Imposto de Renda sobre os proventos de aposentadoria, reforma ou pensão, percebidos por portadores de moléstias graves, nos termos do art. 6º, incisos XIV e XXI, da Lei nº 7.713, de 1988, não exige a demonstração da contemporaneidade dos sintomas, nem a indicação de validade do laudo pericial ou a comprovação da recidiva da enfermidade. </w:t>
      </w:r>
    </w:p>
    <w:p w14:paraId="0F286A8D" w14:textId="77777777" w:rsidR="00BC6E9B" w:rsidRPr="0002253F" w:rsidRDefault="00000000">
      <w:pPr>
        <w:spacing w:after="105"/>
        <w:ind w:left="142"/>
        <w:rPr>
          <w:lang w:val="pt-BR"/>
        </w:rPr>
      </w:pPr>
      <w:r w:rsidRPr="0002253F">
        <w:rPr>
          <w:rFonts w:ascii="Arial" w:eastAsia="Arial" w:hAnsi="Arial" w:cs="Arial"/>
          <w:lang w:val="pt-BR"/>
        </w:rPr>
        <w:t xml:space="preserve"> </w:t>
      </w:r>
    </w:p>
    <w:p w14:paraId="1C8C5D4B" w14:textId="77777777" w:rsidR="00BC6E9B" w:rsidRDefault="00000000">
      <w:pPr>
        <w:numPr>
          <w:ilvl w:val="0"/>
          <w:numId w:val="12"/>
        </w:numPr>
        <w:spacing w:after="3" w:line="370" w:lineRule="auto"/>
        <w:ind w:hanging="10"/>
        <w:jc w:val="both"/>
      </w:pPr>
      <w:r w:rsidRPr="0002253F">
        <w:rPr>
          <w:rFonts w:ascii="Arial" w:eastAsia="Arial" w:hAnsi="Arial" w:cs="Arial"/>
          <w:lang w:val="pt-BR"/>
        </w:rPr>
        <w:t xml:space="preserve">É o parecer. Caso aprovado no âmbito desta PGFN, sugerimos o encaminhamento desta manifestação ao Gabinete do Exmo. </w:t>
      </w:r>
      <w:r>
        <w:rPr>
          <w:rFonts w:ascii="Arial" w:eastAsia="Arial" w:hAnsi="Arial" w:cs="Arial"/>
        </w:rPr>
        <w:t xml:space="preserve">Ministro de Estado da Fazenda. </w:t>
      </w:r>
    </w:p>
    <w:p w14:paraId="4FE3D751" w14:textId="77777777" w:rsidR="00BC6E9B" w:rsidRDefault="00000000">
      <w:pPr>
        <w:spacing w:after="225"/>
        <w:ind w:left="142"/>
      </w:pPr>
      <w:r>
        <w:rPr>
          <w:rFonts w:ascii="Arial" w:eastAsia="Arial" w:hAnsi="Arial" w:cs="Arial"/>
        </w:rPr>
        <w:t xml:space="preserve"> </w:t>
      </w:r>
    </w:p>
    <w:p w14:paraId="72C82CCB" w14:textId="77777777" w:rsidR="00BC6E9B" w:rsidRPr="0002253F" w:rsidRDefault="00000000">
      <w:pPr>
        <w:tabs>
          <w:tab w:val="right" w:pos="9218"/>
        </w:tabs>
        <w:spacing w:after="115"/>
        <w:rPr>
          <w:lang w:val="pt-BR"/>
        </w:rPr>
      </w:pPr>
      <w:r>
        <w:rPr>
          <w:rFonts w:ascii="Arial" w:eastAsia="Arial" w:hAnsi="Arial" w:cs="Arial"/>
        </w:rPr>
        <w:t xml:space="preserve"> </w:t>
      </w:r>
      <w:r>
        <w:rPr>
          <w:rFonts w:ascii="Arial" w:eastAsia="Arial" w:hAnsi="Arial" w:cs="Arial"/>
        </w:rPr>
        <w:tab/>
      </w:r>
      <w:r w:rsidRPr="0002253F">
        <w:rPr>
          <w:rFonts w:ascii="Arial" w:eastAsia="Arial" w:hAnsi="Arial" w:cs="Arial"/>
          <w:lang w:val="pt-BR"/>
        </w:rPr>
        <w:t xml:space="preserve">PROCURADORIA-GERAL DA FAZENDA NACIONAL, em 26 de abril de </w:t>
      </w:r>
    </w:p>
    <w:p w14:paraId="046B56F2" w14:textId="77777777" w:rsidR="00BC6E9B" w:rsidRPr="0002253F" w:rsidRDefault="00000000">
      <w:pPr>
        <w:spacing w:after="105"/>
        <w:ind w:left="10" w:hanging="10"/>
        <w:jc w:val="both"/>
        <w:rPr>
          <w:lang w:val="pt-BR"/>
        </w:rPr>
      </w:pPr>
      <w:r w:rsidRPr="0002253F">
        <w:rPr>
          <w:rFonts w:ascii="Arial" w:eastAsia="Arial" w:hAnsi="Arial" w:cs="Arial"/>
          <w:lang w:val="pt-BR"/>
        </w:rPr>
        <w:t xml:space="preserve">2016. </w:t>
      </w:r>
    </w:p>
    <w:p w14:paraId="24F3244F" w14:textId="77777777" w:rsidR="00BC6E9B" w:rsidRPr="0002253F" w:rsidRDefault="00000000">
      <w:pPr>
        <w:spacing w:after="103"/>
        <w:rPr>
          <w:lang w:val="pt-BR"/>
        </w:rPr>
      </w:pPr>
      <w:r w:rsidRPr="0002253F">
        <w:rPr>
          <w:rFonts w:ascii="Arial" w:eastAsia="Arial" w:hAnsi="Arial" w:cs="Arial"/>
          <w:lang w:val="pt-BR"/>
        </w:rPr>
        <w:t xml:space="preserve"> </w:t>
      </w:r>
    </w:p>
    <w:p w14:paraId="1EC4AC7D" w14:textId="77777777" w:rsidR="00BC6E9B" w:rsidRPr="0002253F" w:rsidRDefault="00000000">
      <w:pPr>
        <w:pStyle w:val="Heading1"/>
        <w:spacing w:after="0"/>
        <w:ind w:left="149" w:right="142"/>
        <w:rPr>
          <w:lang w:val="pt-BR"/>
        </w:rPr>
      </w:pPr>
      <w:r w:rsidRPr="0002253F">
        <w:rPr>
          <w:lang w:val="pt-BR"/>
        </w:rPr>
        <w:t xml:space="preserve">GEILA LÍDIA BARRETO BARBOSA DINIZ </w:t>
      </w:r>
    </w:p>
    <w:p w14:paraId="7A19FD51" w14:textId="77777777" w:rsidR="00BC6E9B" w:rsidRPr="0002253F" w:rsidRDefault="00000000">
      <w:pPr>
        <w:spacing w:after="0"/>
        <w:ind w:right="5"/>
        <w:jc w:val="center"/>
        <w:rPr>
          <w:lang w:val="pt-BR"/>
        </w:rPr>
      </w:pPr>
      <w:r w:rsidRPr="0002253F">
        <w:rPr>
          <w:rFonts w:ascii="Arial" w:eastAsia="Arial" w:hAnsi="Arial" w:cs="Arial"/>
          <w:lang w:val="pt-BR"/>
        </w:rPr>
        <w:t xml:space="preserve">Procuradora da Fazenda Nacional </w:t>
      </w:r>
    </w:p>
    <w:p w14:paraId="5217F852" w14:textId="77777777" w:rsidR="00BC6E9B" w:rsidRPr="0002253F" w:rsidRDefault="00000000">
      <w:pPr>
        <w:spacing w:after="105"/>
        <w:rPr>
          <w:lang w:val="pt-BR"/>
        </w:rPr>
      </w:pPr>
      <w:r w:rsidRPr="0002253F">
        <w:rPr>
          <w:rFonts w:ascii="Arial" w:eastAsia="Arial" w:hAnsi="Arial" w:cs="Arial"/>
          <w:lang w:val="pt-BR"/>
        </w:rPr>
        <w:t xml:space="preserve"> </w:t>
      </w:r>
    </w:p>
    <w:p w14:paraId="7C9E5134" w14:textId="77777777" w:rsidR="00BC6E9B" w:rsidRPr="0002253F" w:rsidRDefault="00000000">
      <w:pPr>
        <w:spacing w:after="106"/>
        <w:rPr>
          <w:lang w:val="pt-BR"/>
        </w:rPr>
      </w:pPr>
      <w:r w:rsidRPr="0002253F">
        <w:rPr>
          <w:rFonts w:ascii="Arial" w:eastAsia="Arial" w:hAnsi="Arial" w:cs="Arial"/>
          <w:lang w:val="pt-BR"/>
        </w:rPr>
        <w:t xml:space="preserve"> </w:t>
      </w:r>
    </w:p>
    <w:p w14:paraId="609E3BEA" w14:textId="77777777" w:rsidR="00BC6E9B" w:rsidRPr="0002253F" w:rsidRDefault="00000000">
      <w:pPr>
        <w:spacing w:after="105"/>
        <w:rPr>
          <w:lang w:val="pt-BR"/>
        </w:rPr>
      </w:pPr>
      <w:r w:rsidRPr="0002253F">
        <w:rPr>
          <w:rFonts w:ascii="Arial" w:eastAsia="Arial" w:hAnsi="Arial" w:cs="Arial"/>
          <w:lang w:val="pt-BR"/>
        </w:rPr>
        <w:t xml:space="preserve"> </w:t>
      </w:r>
    </w:p>
    <w:p w14:paraId="316D5BF2" w14:textId="77777777" w:rsidR="00BC6E9B" w:rsidRPr="0002253F" w:rsidRDefault="00000000">
      <w:pPr>
        <w:spacing w:after="105"/>
        <w:rPr>
          <w:lang w:val="pt-BR"/>
        </w:rPr>
      </w:pPr>
      <w:r w:rsidRPr="0002253F">
        <w:rPr>
          <w:rFonts w:ascii="Arial" w:eastAsia="Arial" w:hAnsi="Arial" w:cs="Arial"/>
          <w:lang w:val="pt-BR"/>
        </w:rPr>
        <w:t xml:space="preserve"> </w:t>
      </w:r>
    </w:p>
    <w:p w14:paraId="4B6D27E2" w14:textId="77777777" w:rsidR="00BC6E9B" w:rsidRPr="0002253F" w:rsidRDefault="00000000">
      <w:pPr>
        <w:spacing w:after="105"/>
        <w:rPr>
          <w:lang w:val="pt-BR"/>
        </w:rPr>
      </w:pPr>
      <w:r w:rsidRPr="0002253F">
        <w:rPr>
          <w:rFonts w:ascii="Arial" w:eastAsia="Arial" w:hAnsi="Arial" w:cs="Arial"/>
          <w:lang w:val="pt-BR"/>
        </w:rPr>
        <w:t xml:space="preserve"> </w:t>
      </w:r>
    </w:p>
    <w:p w14:paraId="359FE231" w14:textId="77777777" w:rsidR="00BC6E9B" w:rsidRPr="0002253F" w:rsidRDefault="00000000">
      <w:pPr>
        <w:spacing w:after="105"/>
        <w:rPr>
          <w:lang w:val="pt-BR"/>
        </w:rPr>
      </w:pPr>
      <w:r w:rsidRPr="0002253F">
        <w:rPr>
          <w:rFonts w:ascii="Arial" w:eastAsia="Arial" w:hAnsi="Arial" w:cs="Arial"/>
          <w:lang w:val="pt-BR"/>
        </w:rPr>
        <w:t xml:space="preserve"> </w:t>
      </w:r>
    </w:p>
    <w:p w14:paraId="51B54A84" w14:textId="77777777" w:rsidR="00BC6E9B" w:rsidRPr="0002253F" w:rsidRDefault="00000000">
      <w:pPr>
        <w:spacing w:after="105"/>
        <w:rPr>
          <w:lang w:val="pt-BR"/>
        </w:rPr>
      </w:pPr>
      <w:r w:rsidRPr="0002253F">
        <w:rPr>
          <w:rFonts w:ascii="Arial" w:eastAsia="Arial" w:hAnsi="Arial" w:cs="Arial"/>
          <w:lang w:val="pt-BR"/>
        </w:rPr>
        <w:t xml:space="preserve"> </w:t>
      </w:r>
    </w:p>
    <w:p w14:paraId="32F88631" w14:textId="77777777" w:rsidR="00BC6E9B" w:rsidRPr="0002253F" w:rsidRDefault="00000000">
      <w:pPr>
        <w:spacing w:after="105"/>
        <w:rPr>
          <w:lang w:val="pt-BR"/>
        </w:rPr>
      </w:pPr>
      <w:r w:rsidRPr="0002253F">
        <w:rPr>
          <w:rFonts w:ascii="Arial" w:eastAsia="Arial" w:hAnsi="Arial" w:cs="Arial"/>
          <w:lang w:val="pt-BR"/>
        </w:rPr>
        <w:t xml:space="preserve"> </w:t>
      </w:r>
    </w:p>
    <w:p w14:paraId="0340D049" w14:textId="77777777" w:rsidR="00BC6E9B" w:rsidRPr="0002253F" w:rsidRDefault="00000000">
      <w:pPr>
        <w:spacing w:after="107"/>
        <w:rPr>
          <w:lang w:val="pt-BR"/>
        </w:rPr>
      </w:pPr>
      <w:r w:rsidRPr="0002253F">
        <w:rPr>
          <w:rFonts w:ascii="Arial" w:eastAsia="Arial" w:hAnsi="Arial" w:cs="Arial"/>
          <w:lang w:val="pt-BR"/>
        </w:rPr>
        <w:t xml:space="preserve"> </w:t>
      </w:r>
    </w:p>
    <w:p w14:paraId="688322C2" w14:textId="77777777" w:rsidR="00BC6E9B" w:rsidRPr="0002253F" w:rsidRDefault="00000000">
      <w:pPr>
        <w:spacing w:after="0"/>
        <w:rPr>
          <w:lang w:val="pt-BR"/>
        </w:rPr>
      </w:pPr>
      <w:r w:rsidRPr="0002253F">
        <w:rPr>
          <w:rFonts w:ascii="Arial" w:eastAsia="Arial" w:hAnsi="Arial" w:cs="Arial"/>
          <w:lang w:val="pt-BR"/>
        </w:rPr>
        <w:t xml:space="preserve"> </w:t>
      </w:r>
    </w:p>
    <w:p w14:paraId="09D96D0F" w14:textId="77777777" w:rsidR="00BC6E9B" w:rsidRPr="0002253F" w:rsidRDefault="00000000">
      <w:pPr>
        <w:spacing w:after="105"/>
        <w:ind w:left="1570" w:hanging="10"/>
        <w:jc w:val="both"/>
        <w:rPr>
          <w:lang w:val="pt-BR"/>
        </w:rPr>
      </w:pPr>
      <w:r w:rsidRPr="0002253F">
        <w:rPr>
          <w:rFonts w:ascii="Arial" w:eastAsia="Arial" w:hAnsi="Arial" w:cs="Arial"/>
          <w:lang w:val="pt-BR"/>
        </w:rPr>
        <w:t xml:space="preserve">DESPACHO PGFN/CRJ/ S/N /2016 </w:t>
      </w:r>
    </w:p>
    <w:p w14:paraId="7539973C" w14:textId="77777777" w:rsidR="00BC6E9B" w:rsidRPr="0002253F" w:rsidRDefault="00000000">
      <w:pPr>
        <w:spacing w:after="105"/>
        <w:ind w:left="1560"/>
        <w:rPr>
          <w:lang w:val="pt-BR"/>
        </w:rPr>
      </w:pPr>
      <w:r w:rsidRPr="0002253F">
        <w:rPr>
          <w:rFonts w:ascii="Arial" w:eastAsia="Arial" w:hAnsi="Arial" w:cs="Arial"/>
          <w:lang w:val="pt-BR"/>
        </w:rPr>
        <w:lastRenderedPageBreak/>
        <w:t xml:space="preserve"> </w:t>
      </w:r>
    </w:p>
    <w:p w14:paraId="3D6BE13E" w14:textId="77777777" w:rsidR="00BC6E9B" w:rsidRPr="0002253F" w:rsidRDefault="00000000">
      <w:pPr>
        <w:spacing w:after="105"/>
        <w:ind w:left="1570" w:hanging="10"/>
        <w:jc w:val="both"/>
        <w:rPr>
          <w:lang w:val="pt-BR"/>
        </w:rPr>
      </w:pPr>
      <w:r w:rsidRPr="0002253F">
        <w:rPr>
          <w:rFonts w:ascii="Arial" w:eastAsia="Arial" w:hAnsi="Arial" w:cs="Arial"/>
          <w:b/>
          <w:lang w:val="pt-BR"/>
        </w:rPr>
        <w:t>Documento</w:t>
      </w:r>
      <w:r w:rsidRPr="0002253F">
        <w:rPr>
          <w:rFonts w:ascii="Arial" w:eastAsia="Arial" w:hAnsi="Arial" w:cs="Arial"/>
          <w:lang w:val="pt-BR"/>
        </w:rPr>
        <w:t xml:space="preserve">: 40515/2016 </w:t>
      </w:r>
    </w:p>
    <w:p w14:paraId="6EACD885" w14:textId="77777777" w:rsidR="00BC6E9B" w:rsidRPr="0002253F" w:rsidRDefault="00000000">
      <w:pPr>
        <w:spacing w:after="105"/>
        <w:ind w:left="1570" w:hanging="10"/>
        <w:rPr>
          <w:lang w:val="pt-BR"/>
        </w:rPr>
      </w:pPr>
      <w:r w:rsidRPr="0002253F">
        <w:rPr>
          <w:rFonts w:ascii="Arial" w:eastAsia="Arial" w:hAnsi="Arial" w:cs="Arial"/>
          <w:b/>
          <w:lang w:val="pt-BR"/>
        </w:rPr>
        <w:t>Interessado</w:t>
      </w:r>
      <w:r w:rsidRPr="0002253F">
        <w:rPr>
          <w:rFonts w:ascii="Arial" w:eastAsia="Arial" w:hAnsi="Arial" w:cs="Arial"/>
          <w:lang w:val="pt-BR"/>
        </w:rPr>
        <w:t xml:space="preserve">: PGFN/CRJ </w:t>
      </w:r>
    </w:p>
    <w:p w14:paraId="77FB4DB7" w14:textId="77777777" w:rsidR="00BC6E9B" w:rsidRPr="0002253F" w:rsidRDefault="00000000">
      <w:pPr>
        <w:spacing w:after="107"/>
        <w:ind w:left="1570" w:hanging="10"/>
        <w:jc w:val="both"/>
        <w:rPr>
          <w:lang w:val="pt-BR"/>
        </w:rPr>
      </w:pPr>
      <w:r w:rsidRPr="0002253F">
        <w:rPr>
          <w:rFonts w:ascii="Arial" w:eastAsia="Arial" w:hAnsi="Arial" w:cs="Arial"/>
          <w:b/>
          <w:lang w:val="pt-BR"/>
        </w:rPr>
        <w:t>Assunto</w:t>
      </w:r>
      <w:r w:rsidRPr="0002253F">
        <w:rPr>
          <w:rFonts w:ascii="Arial" w:eastAsia="Arial" w:hAnsi="Arial" w:cs="Arial"/>
          <w:lang w:val="pt-BR"/>
        </w:rPr>
        <w:t xml:space="preserve">: Tributário. Isenção. Imposto de Renda incidente sobre os proventos </w:t>
      </w:r>
    </w:p>
    <w:p w14:paraId="7EE158CB" w14:textId="77777777" w:rsidR="00BC6E9B" w:rsidRPr="0002253F" w:rsidRDefault="00000000">
      <w:pPr>
        <w:spacing w:after="3" w:line="370" w:lineRule="auto"/>
        <w:ind w:left="137" w:hanging="10"/>
        <w:jc w:val="both"/>
        <w:rPr>
          <w:lang w:val="pt-BR"/>
        </w:rPr>
      </w:pPr>
      <w:r w:rsidRPr="0002253F">
        <w:rPr>
          <w:rFonts w:ascii="Arial" w:eastAsia="Arial" w:hAnsi="Arial" w:cs="Arial"/>
          <w:lang w:val="pt-BR"/>
        </w:rPr>
        <w:t xml:space="preserve">de aposentadoria, pensão ou reforma percebidos por portadores de moléstias graves, nos termos do art. 6º, incisos XIV e XXI, da Lei nº 7.713, de 1988, independentemente da comprovação da contemporaneidade dos sintomas ou da recidiva da enfermidade. Jurisprudência pacífica do Egrégio Superior Tribunal de Justiça.  Aplicação do art. 19, II, da Lei nº 10.522, de 19 de julho de 2002, e do art. 5º do Decreto nº 2.346, de 10 de outubro de 1997. Procuradoria-Geral da Fazenda Nacional autorizada a não contestar, a não interpor recursos e a desistir dos já interpostos. </w:t>
      </w:r>
    </w:p>
    <w:p w14:paraId="26185291" w14:textId="77777777" w:rsidR="00BC6E9B" w:rsidRPr="0002253F" w:rsidRDefault="00000000">
      <w:pPr>
        <w:spacing w:after="105"/>
        <w:ind w:left="1560"/>
        <w:rPr>
          <w:lang w:val="pt-BR"/>
        </w:rPr>
      </w:pPr>
      <w:r w:rsidRPr="0002253F">
        <w:rPr>
          <w:rFonts w:ascii="Arial" w:eastAsia="Arial" w:hAnsi="Arial" w:cs="Arial"/>
          <w:lang w:val="pt-BR"/>
        </w:rPr>
        <w:t xml:space="preserve"> </w:t>
      </w:r>
    </w:p>
    <w:p w14:paraId="0E245108" w14:textId="77777777" w:rsidR="00BC6E9B" w:rsidRPr="0002253F" w:rsidRDefault="00000000">
      <w:pPr>
        <w:spacing w:after="3" w:line="370" w:lineRule="auto"/>
        <w:ind w:left="127" w:firstLine="1418"/>
        <w:jc w:val="both"/>
        <w:rPr>
          <w:lang w:val="pt-BR"/>
        </w:rPr>
      </w:pPr>
      <w:r w:rsidRPr="0002253F">
        <w:rPr>
          <w:rFonts w:ascii="Arial" w:eastAsia="Arial" w:hAnsi="Arial" w:cs="Arial"/>
          <w:lang w:val="pt-BR"/>
        </w:rPr>
        <w:t xml:space="preserve">Trata-se do PARECER PGFN/CRJ/Nº 771/2016, da lavra da Procuradora GEILA LÍDIA BARRETO BARBOSA DINIZ, com a qual manifesto minha concordância. </w:t>
      </w:r>
    </w:p>
    <w:p w14:paraId="224556E8" w14:textId="77777777" w:rsidR="00BC6E9B" w:rsidRPr="0002253F" w:rsidRDefault="00000000">
      <w:pPr>
        <w:spacing w:after="105"/>
        <w:ind w:left="1560"/>
        <w:rPr>
          <w:lang w:val="pt-BR"/>
        </w:rPr>
      </w:pPr>
      <w:r w:rsidRPr="0002253F">
        <w:rPr>
          <w:rFonts w:ascii="Arial" w:eastAsia="Arial" w:hAnsi="Arial" w:cs="Arial"/>
          <w:lang w:val="pt-BR"/>
        </w:rPr>
        <w:t xml:space="preserve"> </w:t>
      </w:r>
    </w:p>
    <w:p w14:paraId="5923C232" w14:textId="77777777" w:rsidR="00BC6E9B" w:rsidRPr="0002253F" w:rsidRDefault="00000000">
      <w:pPr>
        <w:spacing w:after="105"/>
        <w:ind w:left="1570" w:hanging="10"/>
        <w:jc w:val="both"/>
        <w:rPr>
          <w:lang w:val="pt-BR"/>
        </w:rPr>
      </w:pPr>
      <w:r w:rsidRPr="0002253F">
        <w:rPr>
          <w:rFonts w:ascii="Arial" w:eastAsia="Arial" w:hAnsi="Arial" w:cs="Arial"/>
          <w:lang w:val="pt-BR"/>
        </w:rPr>
        <w:t xml:space="preserve">De acordo.  </w:t>
      </w:r>
    </w:p>
    <w:p w14:paraId="4BDDCFAE" w14:textId="77777777" w:rsidR="00BC6E9B" w:rsidRPr="0002253F" w:rsidRDefault="00000000">
      <w:pPr>
        <w:spacing w:after="105"/>
        <w:ind w:left="1942"/>
        <w:rPr>
          <w:lang w:val="pt-BR"/>
        </w:rPr>
      </w:pPr>
      <w:r w:rsidRPr="0002253F">
        <w:rPr>
          <w:rFonts w:ascii="Arial" w:eastAsia="Arial" w:hAnsi="Arial" w:cs="Arial"/>
          <w:lang w:val="pt-BR"/>
        </w:rPr>
        <w:t xml:space="preserve"> </w:t>
      </w:r>
    </w:p>
    <w:p w14:paraId="1775260C" w14:textId="77777777" w:rsidR="00BC6E9B" w:rsidRPr="0002253F" w:rsidRDefault="00000000">
      <w:pPr>
        <w:tabs>
          <w:tab w:val="right" w:pos="9218"/>
        </w:tabs>
        <w:spacing w:after="112"/>
        <w:rPr>
          <w:lang w:val="pt-BR"/>
        </w:rPr>
      </w:pPr>
      <w:r w:rsidRPr="0002253F">
        <w:rPr>
          <w:rFonts w:ascii="Arial" w:eastAsia="Arial" w:hAnsi="Arial" w:cs="Arial"/>
          <w:lang w:val="pt-BR"/>
        </w:rPr>
        <w:t xml:space="preserve"> </w:t>
      </w:r>
      <w:r w:rsidRPr="0002253F">
        <w:rPr>
          <w:rFonts w:ascii="Arial" w:eastAsia="Arial" w:hAnsi="Arial" w:cs="Arial"/>
          <w:lang w:val="pt-BR"/>
        </w:rPr>
        <w:tab/>
        <w:t xml:space="preserve">PROCURADORIA-GERAL DA FAZENDA NACIONAL, em 27 de abril de </w:t>
      </w:r>
    </w:p>
    <w:p w14:paraId="04415A0D" w14:textId="77777777" w:rsidR="00BC6E9B" w:rsidRPr="0002253F" w:rsidRDefault="00000000">
      <w:pPr>
        <w:spacing w:after="146"/>
        <w:ind w:left="137" w:hanging="10"/>
        <w:jc w:val="both"/>
        <w:rPr>
          <w:lang w:val="pt-BR"/>
        </w:rPr>
      </w:pPr>
      <w:r w:rsidRPr="0002253F">
        <w:rPr>
          <w:rFonts w:ascii="Arial" w:eastAsia="Arial" w:hAnsi="Arial" w:cs="Arial"/>
          <w:lang w:val="pt-BR"/>
        </w:rPr>
        <w:t xml:space="preserve">2016. </w:t>
      </w:r>
    </w:p>
    <w:p w14:paraId="5A286755" w14:textId="77777777" w:rsidR="00BC6E9B" w:rsidRPr="0002253F" w:rsidRDefault="00000000">
      <w:pPr>
        <w:spacing w:after="0"/>
        <w:ind w:left="203"/>
        <w:jc w:val="center"/>
        <w:rPr>
          <w:lang w:val="pt-BR"/>
        </w:rPr>
      </w:pPr>
      <w:r w:rsidRPr="0002253F">
        <w:rPr>
          <w:rFonts w:ascii="Times New Roman" w:eastAsia="Times New Roman" w:hAnsi="Times New Roman" w:cs="Times New Roman"/>
          <w:b/>
          <w:sz w:val="26"/>
          <w:lang w:val="pt-BR"/>
        </w:rPr>
        <w:t xml:space="preserve"> </w:t>
      </w:r>
    </w:p>
    <w:p w14:paraId="5B111413" w14:textId="77777777" w:rsidR="00BC6E9B" w:rsidRPr="0002253F" w:rsidRDefault="00000000">
      <w:pPr>
        <w:spacing w:after="0"/>
        <w:ind w:left="142"/>
        <w:rPr>
          <w:lang w:val="pt-BR"/>
        </w:rPr>
      </w:pPr>
      <w:r w:rsidRPr="0002253F">
        <w:rPr>
          <w:rFonts w:ascii="Times New Roman" w:eastAsia="Times New Roman" w:hAnsi="Times New Roman" w:cs="Times New Roman"/>
          <w:b/>
          <w:sz w:val="26"/>
          <w:lang w:val="pt-BR"/>
        </w:rPr>
        <w:t xml:space="preserve"> </w:t>
      </w:r>
    </w:p>
    <w:p w14:paraId="393C01D5" w14:textId="77777777" w:rsidR="00BC6E9B" w:rsidRPr="0002253F" w:rsidRDefault="00000000">
      <w:pPr>
        <w:pStyle w:val="Heading1"/>
        <w:spacing w:after="0"/>
        <w:ind w:left="145"/>
        <w:rPr>
          <w:lang w:val="pt-BR"/>
        </w:rPr>
      </w:pPr>
      <w:r w:rsidRPr="0002253F">
        <w:rPr>
          <w:rFonts w:ascii="Times New Roman" w:eastAsia="Times New Roman" w:hAnsi="Times New Roman" w:cs="Times New Roman"/>
          <w:sz w:val="26"/>
          <w:lang w:val="pt-BR"/>
        </w:rPr>
        <w:t xml:space="preserve">ROGÉRIO CAMPOS </w:t>
      </w:r>
    </w:p>
    <w:p w14:paraId="4E1F158E" w14:textId="77777777" w:rsidR="00BC6E9B" w:rsidRPr="0002253F" w:rsidRDefault="00000000">
      <w:pPr>
        <w:spacing w:after="0" w:line="249" w:lineRule="auto"/>
        <w:ind w:left="2173" w:right="1893" w:hanging="10"/>
        <w:jc w:val="center"/>
        <w:rPr>
          <w:lang w:val="pt-BR"/>
        </w:rPr>
      </w:pPr>
      <w:r w:rsidRPr="0002253F">
        <w:rPr>
          <w:rFonts w:ascii="Times New Roman" w:eastAsia="Times New Roman" w:hAnsi="Times New Roman" w:cs="Times New Roman"/>
          <w:sz w:val="26"/>
          <w:lang w:val="pt-BR"/>
        </w:rPr>
        <w:t xml:space="preserve">Coordenador-Geral da Representação Judicial  da Fazenda Nacional </w:t>
      </w:r>
    </w:p>
    <w:p w14:paraId="198AC5E0" w14:textId="77777777" w:rsidR="00BC6E9B" w:rsidRPr="0002253F" w:rsidRDefault="00000000">
      <w:pPr>
        <w:spacing w:after="0"/>
        <w:ind w:left="199"/>
        <w:jc w:val="center"/>
        <w:rPr>
          <w:lang w:val="pt-BR"/>
        </w:rPr>
      </w:pPr>
      <w:r w:rsidRPr="0002253F">
        <w:rPr>
          <w:rFonts w:ascii="Arial" w:eastAsia="Arial" w:hAnsi="Arial" w:cs="Arial"/>
          <w:lang w:val="pt-BR"/>
        </w:rPr>
        <w:t xml:space="preserve"> </w:t>
      </w:r>
    </w:p>
    <w:p w14:paraId="7BD5DB51" w14:textId="77777777" w:rsidR="00BC6E9B" w:rsidRPr="0002253F" w:rsidRDefault="00000000">
      <w:pPr>
        <w:spacing w:after="0"/>
        <w:ind w:left="199"/>
        <w:jc w:val="center"/>
        <w:rPr>
          <w:lang w:val="pt-BR"/>
        </w:rPr>
      </w:pPr>
      <w:r w:rsidRPr="0002253F">
        <w:rPr>
          <w:rFonts w:ascii="Arial" w:eastAsia="Arial" w:hAnsi="Arial" w:cs="Arial"/>
          <w:lang w:val="pt-BR"/>
        </w:rPr>
        <w:t xml:space="preserve"> </w:t>
      </w:r>
    </w:p>
    <w:p w14:paraId="564BB46D" w14:textId="77777777" w:rsidR="00BC6E9B" w:rsidRPr="0002253F" w:rsidRDefault="00000000">
      <w:pPr>
        <w:spacing w:after="0"/>
        <w:ind w:left="199"/>
        <w:jc w:val="center"/>
        <w:rPr>
          <w:lang w:val="pt-BR"/>
        </w:rPr>
      </w:pPr>
      <w:r w:rsidRPr="0002253F">
        <w:rPr>
          <w:rFonts w:ascii="Arial" w:eastAsia="Arial" w:hAnsi="Arial" w:cs="Arial"/>
          <w:lang w:val="pt-BR"/>
        </w:rPr>
        <w:t xml:space="preserve"> </w:t>
      </w:r>
    </w:p>
    <w:p w14:paraId="31559922" w14:textId="77777777" w:rsidR="00BC6E9B" w:rsidRPr="0002253F" w:rsidRDefault="00000000">
      <w:pPr>
        <w:spacing w:after="105"/>
        <w:ind w:left="1568" w:hanging="10"/>
        <w:jc w:val="both"/>
        <w:rPr>
          <w:lang w:val="pt-BR"/>
        </w:rPr>
      </w:pPr>
      <w:r w:rsidRPr="0002253F">
        <w:rPr>
          <w:rFonts w:ascii="Arial" w:eastAsia="Arial" w:hAnsi="Arial" w:cs="Arial"/>
          <w:lang w:val="pt-BR"/>
        </w:rPr>
        <w:t xml:space="preserve">Aprovo. Dê-se o encaminhamento proposto.   </w:t>
      </w:r>
    </w:p>
    <w:p w14:paraId="3BE07788" w14:textId="77777777" w:rsidR="00BC6E9B" w:rsidRPr="0002253F" w:rsidRDefault="00000000">
      <w:pPr>
        <w:spacing w:after="105"/>
        <w:ind w:left="1942"/>
        <w:rPr>
          <w:lang w:val="pt-BR"/>
        </w:rPr>
      </w:pPr>
      <w:r w:rsidRPr="0002253F">
        <w:rPr>
          <w:rFonts w:ascii="Arial" w:eastAsia="Arial" w:hAnsi="Arial" w:cs="Arial"/>
          <w:lang w:val="pt-BR"/>
        </w:rPr>
        <w:t xml:space="preserve"> </w:t>
      </w:r>
    </w:p>
    <w:p w14:paraId="2D566F81" w14:textId="77777777" w:rsidR="00BC6E9B" w:rsidRPr="0002253F" w:rsidRDefault="00000000">
      <w:pPr>
        <w:spacing w:after="105"/>
        <w:jc w:val="right"/>
        <w:rPr>
          <w:lang w:val="pt-BR"/>
        </w:rPr>
      </w:pPr>
      <w:r w:rsidRPr="0002253F">
        <w:rPr>
          <w:rFonts w:ascii="Arial" w:eastAsia="Arial" w:hAnsi="Arial" w:cs="Arial"/>
          <w:lang w:val="pt-BR"/>
        </w:rPr>
        <w:t xml:space="preserve">PROCURADORIA-GERAL DA FAZENDA NACIONAL, </w:t>
      </w:r>
      <w:proofErr w:type="gramStart"/>
      <w:r w:rsidRPr="0002253F">
        <w:rPr>
          <w:rFonts w:ascii="Arial" w:eastAsia="Arial" w:hAnsi="Arial" w:cs="Arial"/>
          <w:lang w:val="pt-BR"/>
        </w:rPr>
        <w:t>em  03</w:t>
      </w:r>
      <w:proofErr w:type="gramEnd"/>
      <w:r w:rsidRPr="0002253F">
        <w:rPr>
          <w:rFonts w:ascii="Arial" w:eastAsia="Arial" w:hAnsi="Arial" w:cs="Arial"/>
          <w:lang w:val="pt-BR"/>
        </w:rPr>
        <w:t xml:space="preserve"> de maio de </w:t>
      </w:r>
    </w:p>
    <w:p w14:paraId="68006C32" w14:textId="77777777" w:rsidR="00BC6E9B" w:rsidRPr="0002253F" w:rsidRDefault="00000000">
      <w:pPr>
        <w:spacing w:after="105"/>
        <w:ind w:left="137" w:hanging="10"/>
        <w:jc w:val="both"/>
        <w:rPr>
          <w:lang w:val="pt-BR"/>
        </w:rPr>
      </w:pPr>
      <w:r w:rsidRPr="0002253F">
        <w:rPr>
          <w:rFonts w:ascii="Arial" w:eastAsia="Arial" w:hAnsi="Arial" w:cs="Arial"/>
          <w:lang w:val="pt-BR"/>
        </w:rPr>
        <w:t xml:space="preserve">2016. </w:t>
      </w:r>
    </w:p>
    <w:p w14:paraId="7343AD2D" w14:textId="77777777" w:rsidR="00BC6E9B" w:rsidRPr="0002253F" w:rsidRDefault="00000000">
      <w:pPr>
        <w:spacing w:after="143"/>
        <w:ind w:left="2000"/>
        <w:jc w:val="center"/>
        <w:rPr>
          <w:lang w:val="pt-BR"/>
        </w:rPr>
      </w:pPr>
      <w:r w:rsidRPr="0002253F">
        <w:rPr>
          <w:rFonts w:ascii="Arial" w:eastAsia="Arial" w:hAnsi="Arial" w:cs="Arial"/>
          <w:lang w:val="pt-BR"/>
        </w:rPr>
        <w:t xml:space="preserve"> </w:t>
      </w:r>
    </w:p>
    <w:p w14:paraId="06579096" w14:textId="77777777" w:rsidR="00BC6E9B" w:rsidRPr="0002253F" w:rsidRDefault="00000000">
      <w:pPr>
        <w:pStyle w:val="Heading1"/>
        <w:spacing w:after="0"/>
        <w:ind w:left="145" w:right="3"/>
        <w:rPr>
          <w:lang w:val="pt-BR"/>
        </w:rPr>
      </w:pPr>
      <w:r w:rsidRPr="0002253F">
        <w:rPr>
          <w:rFonts w:ascii="Times New Roman" w:eastAsia="Times New Roman" w:hAnsi="Times New Roman" w:cs="Times New Roman"/>
          <w:sz w:val="26"/>
          <w:lang w:val="pt-BR"/>
        </w:rPr>
        <w:t xml:space="preserve">CLAUDIO XAVIER SEEFELDER FILHO </w:t>
      </w:r>
    </w:p>
    <w:p w14:paraId="68527A12" w14:textId="77777777" w:rsidR="00BC6E9B" w:rsidRPr="0002253F" w:rsidRDefault="00000000">
      <w:pPr>
        <w:spacing w:after="104" w:line="249" w:lineRule="auto"/>
        <w:ind w:left="10" w:right="7" w:hanging="10"/>
        <w:jc w:val="center"/>
        <w:rPr>
          <w:lang w:val="pt-BR"/>
        </w:rPr>
      </w:pPr>
      <w:r w:rsidRPr="0002253F">
        <w:rPr>
          <w:rFonts w:ascii="Times New Roman" w:eastAsia="Times New Roman" w:hAnsi="Times New Roman" w:cs="Times New Roman"/>
          <w:sz w:val="26"/>
          <w:lang w:val="pt-BR"/>
        </w:rPr>
        <w:t>Procurador-Geral Adjunto de Consultoria e Contencioso Tributário</w:t>
      </w:r>
      <w:r w:rsidRPr="0002253F">
        <w:rPr>
          <w:rFonts w:ascii="Arial" w:eastAsia="Arial" w:hAnsi="Arial" w:cs="Arial"/>
          <w:lang w:val="pt-BR"/>
        </w:rPr>
        <w:t xml:space="preserve"> </w:t>
      </w:r>
    </w:p>
    <w:p w14:paraId="3F21EB7E" w14:textId="77777777" w:rsidR="00BC6E9B" w:rsidRPr="0002253F" w:rsidRDefault="00000000">
      <w:pPr>
        <w:spacing w:after="0"/>
        <w:rPr>
          <w:lang w:val="pt-BR"/>
        </w:rPr>
      </w:pPr>
      <w:r w:rsidRPr="0002253F">
        <w:rPr>
          <w:rFonts w:ascii="Arial" w:eastAsia="Arial" w:hAnsi="Arial" w:cs="Arial"/>
          <w:lang w:val="pt-BR"/>
        </w:rPr>
        <w:t xml:space="preserve"> </w:t>
      </w:r>
      <w:r w:rsidRPr="0002253F">
        <w:rPr>
          <w:rFonts w:ascii="Arial" w:eastAsia="Arial" w:hAnsi="Arial" w:cs="Arial"/>
          <w:lang w:val="pt-BR"/>
        </w:rPr>
        <w:tab/>
        <w:t xml:space="preserve"> </w:t>
      </w:r>
      <w:r w:rsidRPr="0002253F">
        <w:rPr>
          <w:rFonts w:ascii="Arial" w:eastAsia="Arial" w:hAnsi="Arial" w:cs="Arial"/>
          <w:lang w:val="pt-BR"/>
        </w:rPr>
        <w:tab/>
        <w:t xml:space="preserve"> </w:t>
      </w:r>
    </w:p>
    <w:sectPr w:rsidR="00BC6E9B" w:rsidRPr="0002253F">
      <w:headerReference w:type="even" r:id="rId7"/>
      <w:headerReference w:type="default" r:id="rId8"/>
      <w:footerReference w:type="even" r:id="rId9"/>
      <w:footerReference w:type="default" r:id="rId10"/>
      <w:headerReference w:type="first" r:id="rId11"/>
      <w:footerReference w:type="first" r:id="rId12"/>
      <w:pgSz w:w="11906" w:h="16841"/>
      <w:pgMar w:top="662" w:right="1128" w:bottom="1275" w:left="1560" w:header="66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1D815" w14:textId="77777777" w:rsidR="00202CBD" w:rsidRDefault="00202CBD">
      <w:pPr>
        <w:spacing w:after="0" w:line="240" w:lineRule="auto"/>
      </w:pPr>
      <w:r>
        <w:separator/>
      </w:r>
    </w:p>
  </w:endnote>
  <w:endnote w:type="continuationSeparator" w:id="0">
    <w:p w14:paraId="4CF84BA1" w14:textId="77777777" w:rsidR="00202CBD" w:rsidRDefault="00202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78E22" w14:textId="77777777" w:rsidR="00BC6E9B" w:rsidRDefault="00000000">
    <w:pPr>
      <w:tabs>
        <w:tab w:val="right" w:pos="9218"/>
      </w:tabs>
      <w:spacing w:after="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F6618" w14:textId="77777777" w:rsidR="00BC6E9B" w:rsidRDefault="00000000">
    <w:pPr>
      <w:tabs>
        <w:tab w:val="right" w:pos="9218"/>
      </w:tabs>
      <w:spacing w:after="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8AE4D" w14:textId="77777777" w:rsidR="00BC6E9B" w:rsidRDefault="00BC6E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553D1" w14:textId="77777777" w:rsidR="00202CBD" w:rsidRDefault="00202CBD">
      <w:pPr>
        <w:spacing w:after="0" w:line="216" w:lineRule="auto"/>
        <w:ind w:left="142" w:right="2"/>
        <w:jc w:val="both"/>
      </w:pPr>
      <w:r>
        <w:separator/>
      </w:r>
    </w:p>
  </w:footnote>
  <w:footnote w:type="continuationSeparator" w:id="0">
    <w:p w14:paraId="2B76232B" w14:textId="77777777" w:rsidR="00202CBD" w:rsidRDefault="00202CBD">
      <w:pPr>
        <w:spacing w:after="0" w:line="216" w:lineRule="auto"/>
        <w:ind w:left="142" w:right="2"/>
        <w:jc w:val="both"/>
      </w:pPr>
      <w:r>
        <w:continuationSeparator/>
      </w:r>
    </w:p>
  </w:footnote>
  <w:footnote w:id="1">
    <w:p w14:paraId="77AFE813" w14:textId="77777777" w:rsidR="00BC6E9B" w:rsidRPr="0002253F" w:rsidRDefault="00000000">
      <w:pPr>
        <w:pStyle w:val="footnotedescription"/>
        <w:spacing w:line="216" w:lineRule="auto"/>
        <w:rPr>
          <w:lang w:val="pt-BR"/>
        </w:rPr>
      </w:pPr>
      <w:r>
        <w:rPr>
          <w:rStyle w:val="footnotemark"/>
        </w:rPr>
        <w:footnoteRef/>
      </w:r>
      <w:r w:rsidRPr="0002253F">
        <w:rPr>
          <w:lang w:val="pt-BR"/>
        </w:rPr>
        <w:t xml:space="preserve"> Art. 19. Fica a Procuradoria-Geral da Fazenda Nacional autorizada a não contestar, a não interpor recurso ou a desistir do que tenha sido interposto, desde que inexista outro fundamento relevante, na hipótese de a decisão versar sobre: </w:t>
      </w:r>
      <w:r w:rsidRPr="0002253F">
        <w:rPr>
          <w:u w:val="single" w:color="000000"/>
          <w:lang w:val="pt-BR"/>
        </w:rPr>
        <w:t>(Redação dada pela Lei nº 11.033, de 2004)</w:t>
      </w:r>
      <w:r w:rsidRPr="0002253F">
        <w:rPr>
          <w:lang w:val="pt-BR"/>
        </w:rPr>
        <w:t xml:space="preserve"> I - matérias de que trata o art. 18; II - matérias que, em virtude de jurisprudência pacífica do Supremo Tribunal Federal, do Superior Tribunal de Justiça, do Tribunal Superior do Trabalho e do Tribunal Superior Eleitoral, sejam objeto de ato declaratório do Procurador-Geral da Fazenda Nacional, aprovado pelo Ministro de Estado da Fazenda; </w:t>
      </w:r>
      <w:r w:rsidRPr="0002253F">
        <w:rPr>
          <w:u w:val="single" w:color="000000"/>
          <w:lang w:val="pt-BR"/>
        </w:rPr>
        <w:t>(Redação dada pela Lei nº 12.844, de 2013).</w:t>
      </w:r>
      <w:r w:rsidRPr="0002253F">
        <w:rPr>
          <w:lang w:val="pt-BR"/>
        </w:rPr>
        <w:t xml:space="preserve"> </w:t>
      </w:r>
      <w:r w:rsidRPr="0002253F">
        <w:rPr>
          <w:sz w:val="12"/>
          <w:lang w:val="pt-BR"/>
        </w:rPr>
        <w:t>2</w:t>
      </w:r>
    </w:p>
    <w:p w14:paraId="32672321" w14:textId="77777777" w:rsidR="00BC6E9B" w:rsidRPr="0002253F" w:rsidRDefault="00000000">
      <w:pPr>
        <w:pStyle w:val="footnotedescription"/>
        <w:spacing w:after="67"/>
        <w:ind w:firstLine="67"/>
        <w:rPr>
          <w:lang w:val="pt-BR"/>
        </w:rPr>
      </w:pPr>
      <w:r w:rsidRPr="0002253F">
        <w:rPr>
          <w:lang w:val="pt-BR"/>
        </w:rPr>
        <w:t xml:space="preserve"> Art. 5</w:t>
      </w:r>
      <w:r w:rsidRPr="0002253F">
        <w:rPr>
          <w:strike/>
          <w:lang w:val="pt-BR"/>
        </w:rPr>
        <w:t>º</w:t>
      </w:r>
      <w:r w:rsidRPr="0002253F">
        <w:rPr>
          <w:lang w:val="pt-BR"/>
        </w:rPr>
        <w:t xml:space="preserve"> Nas causas em que a representação da União competir à Procuradoria-Geral da Fazenda Nacional havendo manifestação jurisprudencial reiterada e uniforme e decisões definitivas do Supremo Tribunal Federal ou do Superior Tribunal de Justiça, em suas respectivas áreas de competência, fica o Procurador-Geral da Fazenda Nacional autorizado a declarar, mediante parecer fundamentado, aprovado pelo Ministro de Estado da Fazenda, as matérias em relação às quais é de ser dispensada a apresentação de recursos. </w:t>
      </w:r>
    </w:p>
    <w:p w14:paraId="39BB7724" w14:textId="77777777" w:rsidR="00BC6E9B" w:rsidRPr="0002253F" w:rsidRDefault="00000000">
      <w:pPr>
        <w:pStyle w:val="footnotedescription"/>
        <w:spacing w:line="259" w:lineRule="auto"/>
        <w:ind w:right="0"/>
        <w:jc w:val="left"/>
        <w:rPr>
          <w:lang w:val="pt-BR"/>
        </w:rPr>
      </w:pPr>
      <w:r w:rsidRPr="0002253F">
        <w:rPr>
          <w:rFonts w:ascii="Times New Roman" w:eastAsia="Times New Roman" w:hAnsi="Times New Roman" w:cs="Times New Roman"/>
          <w:sz w:val="26"/>
          <w:lang w:val="pt-BR"/>
        </w:rPr>
        <w:t xml:space="preserve"> </w:t>
      </w:r>
    </w:p>
  </w:footnote>
  <w:footnote w:id="2">
    <w:p w14:paraId="67D664DC" w14:textId="77777777" w:rsidR="00BC6E9B" w:rsidRDefault="00000000">
      <w:pPr>
        <w:pStyle w:val="footnotedescription"/>
        <w:spacing w:after="46" w:line="223" w:lineRule="auto"/>
      </w:pPr>
      <w:r>
        <w:rPr>
          <w:rStyle w:val="footnotemark"/>
        </w:rPr>
        <w:footnoteRef/>
      </w:r>
      <w:r w:rsidRPr="0002253F">
        <w:rPr>
          <w:lang w:val="pt-BR"/>
        </w:rPr>
        <w:t xml:space="preserve"> “Art. 6º Ficam isentos do imposto de renda os seguinte rendimentos percebidos por pessoas físicas: (...) </w:t>
      </w:r>
      <w:r>
        <w:t xml:space="preserve">XIV – os proventos de aposentadoria ou reforma motivada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hepatopatia grave, estados avançados da doença de Paget (osteíte deformante), contaminação por radiação, síndrome da imunodeficiência adquirida, com base em conclusão da medicina especializada, mesmo que a doença tenha sido contraída depois da aposentadoria ou reforma”. </w:t>
      </w:r>
    </w:p>
  </w:footnote>
  <w:footnote w:id="3">
    <w:p w14:paraId="26E84263" w14:textId="77777777" w:rsidR="00BC6E9B" w:rsidRDefault="00000000">
      <w:pPr>
        <w:pStyle w:val="footnotedescription"/>
        <w:spacing w:line="230" w:lineRule="auto"/>
      </w:pPr>
      <w:r>
        <w:rPr>
          <w:rStyle w:val="footnotemark"/>
        </w:rPr>
        <w:footnoteRef/>
      </w:r>
      <w:r w:rsidRPr="0002253F">
        <w:rPr>
          <w:lang w:val="pt-BR"/>
        </w:rPr>
        <w:t xml:space="preserve"> </w:t>
      </w:r>
      <w:r w:rsidRPr="0002253F">
        <w:rPr>
          <w:lang w:val="pt-BR"/>
        </w:rPr>
        <w:t xml:space="preserve">“Art. 30. A partir de 1º de janeiro de 1996, para efeito do reconhecimento de novas isenções de que tratam os incisos XIV e XXI do art. 6º da Lei nº 7.713, de 22 de dezembro de 1988, com a redação dada pelo art. 47 da Lei nº 8.541, de 23 de dezembro de 1992, a moléstia deverá ser comprovada mediante laudo pericial emitido por serviço médico oficial, da União, dos Estados, do Distrito Federal e dos Municípios. </w:t>
      </w:r>
      <w:r w:rsidRPr="0002253F">
        <w:rPr>
          <w:b/>
          <w:lang w:val="pt-BR"/>
        </w:rPr>
        <w:t>§ 1º O serviço médico oficial fixará o prazo de validade do laudo pericial, no caso de moléstias passíveis de controle</w:t>
      </w:r>
      <w:r w:rsidRPr="0002253F">
        <w:rPr>
          <w:lang w:val="pt-BR"/>
        </w:rPr>
        <w:t xml:space="preserve">.” </w:t>
      </w:r>
      <w:proofErr w:type="gramStart"/>
      <w:r>
        <w:rPr>
          <w:sz w:val="12"/>
        </w:rPr>
        <w:t xml:space="preserve">6 </w:t>
      </w:r>
      <w:r>
        <w:t xml:space="preserve"> “</w:t>
      </w:r>
      <w:proofErr w:type="gramEnd"/>
      <w:r>
        <w:t>Art. 39.</w:t>
      </w:r>
      <w:r>
        <w:rPr>
          <w:b/>
        </w:rPr>
        <w:t xml:space="preserve">  </w:t>
      </w:r>
      <w:r>
        <w:t>Não entrarão no cômputo do rendimento bruto: (...) XXXIII - os proventos de aposentadoria ou reforma, desde que motivadas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estados avançados de doença de Paget (osteíte deformante), contaminação por radiação, síndrome de imunodeficiência adquirida, e fibrose cística (mucoviscidose), com base em conclusão da medicina especializada, mesmo que a doença tenha sido contraída depois da aposentadoria ou reforma (</w:t>
      </w:r>
      <w:r>
        <w:rPr>
          <w:u w:val="single" w:color="000000"/>
        </w:rPr>
        <w:t>Lei nº 7.713, de</w:t>
      </w:r>
      <w:r>
        <w:t xml:space="preserve"> </w:t>
      </w:r>
      <w:r>
        <w:rPr>
          <w:u w:val="single" w:color="000000"/>
        </w:rPr>
        <w:t>1988, art. 6º, inciso XIV</w:t>
      </w:r>
      <w:r>
        <w:t xml:space="preserve">, </w:t>
      </w:r>
      <w:r>
        <w:rPr>
          <w:u w:val="single" w:color="000000"/>
        </w:rPr>
        <w:t>Lei nº 8.541, de 1992, art. 47</w:t>
      </w:r>
      <w:r>
        <w:t xml:space="preserve">, e </w:t>
      </w:r>
      <w:r>
        <w:rPr>
          <w:u w:val="single" w:color="000000"/>
        </w:rPr>
        <w:t>Lei nº 9.250, de 1995, art. 30, § 2º</w:t>
      </w:r>
      <w:r>
        <w:t xml:space="preserve">); (...) § 4º  Para o reconhecimento de novas isenções de que tratam os incisos XXXI e XXXIII, a partir de 1º de janeiro de 1996, a moléstia deverá ser comprovada mediante laudo pericial emitido por serviço médico oficial da União, dos Estados, do Distrito Federal e dos Municípios, </w:t>
      </w:r>
      <w:r>
        <w:rPr>
          <w:b/>
        </w:rPr>
        <w:t>devendo ser fixado o prazo de validade do laudo pericial, no caso de moléstias passíveis de controle</w:t>
      </w:r>
      <w:r>
        <w:t xml:space="preserve"> (</w:t>
      </w:r>
      <w:r>
        <w:rPr>
          <w:u w:val="single" w:color="000000"/>
        </w:rPr>
        <w:t>Lei nº 9.250, de 1995, art. 30 e § 1º</w:t>
      </w:r>
      <w:r>
        <w:t xml:space="preserve">).  </w:t>
      </w:r>
    </w:p>
  </w:footnote>
  <w:footnote w:id="4">
    <w:p w14:paraId="37478A1C" w14:textId="77777777" w:rsidR="00BC6E9B" w:rsidRDefault="00000000">
      <w:pPr>
        <w:pStyle w:val="footnotedescription"/>
        <w:spacing w:line="259" w:lineRule="auto"/>
        <w:ind w:right="0"/>
        <w:jc w:val="left"/>
      </w:pPr>
      <w:r>
        <w:rPr>
          <w:rStyle w:val="footnotemark"/>
        </w:rPr>
        <w:footnoteRef/>
      </w:r>
      <w:r w:rsidRPr="0002253F">
        <w:rPr>
          <w:lang w:val="pt-BR"/>
        </w:rPr>
        <w:t xml:space="preserve"> </w:t>
      </w:r>
      <w:r w:rsidRPr="0002253F">
        <w:rPr>
          <w:lang w:val="pt-BR"/>
        </w:rPr>
        <w:t xml:space="preserve">Art. 111. Interpreta-se literalmente a legislação tributária que disponha sobre: (...) </w:t>
      </w:r>
      <w:r>
        <w:t xml:space="preserve">II - outorga de isenção; (...)  </w:t>
      </w:r>
    </w:p>
  </w:footnote>
  <w:footnote w:id="5">
    <w:p w14:paraId="4E8A2C36" w14:textId="77777777" w:rsidR="00BC6E9B" w:rsidRPr="0002253F" w:rsidRDefault="00000000">
      <w:pPr>
        <w:pStyle w:val="footnotedescription"/>
        <w:rPr>
          <w:lang w:val="pt-BR"/>
        </w:rPr>
      </w:pPr>
      <w:r>
        <w:rPr>
          <w:rStyle w:val="footnotemark"/>
        </w:rPr>
        <w:footnoteRef/>
      </w:r>
      <w:r w:rsidRPr="0002253F">
        <w:rPr>
          <w:lang w:val="pt-BR"/>
        </w:rPr>
        <w:t xml:space="preserve"> “Art. 6º Ficam isentos do imposto de renda os </w:t>
      </w:r>
      <w:proofErr w:type="gramStart"/>
      <w:r w:rsidRPr="0002253F">
        <w:rPr>
          <w:lang w:val="pt-BR"/>
        </w:rPr>
        <w:t>seguinte rendimentos</w:t>
      </w:r>
      <w:proofErr w:type="gramEnd"/>
      <w:r w:rsidRPr="0002253F">
        <w:rPr>
          <w:lang w:val="pt-BR"/>
        </w:rPr>
        <w:t xml:space="preserve"> percebidos por pessoas físicas: (...) </w:t>
      </w:r>
      <w:r>
        <w:t xml:space="preserve">XXI - os valores recebidos a título de pensão quando o beneficiário desse rendimento for portador das doenças relacionadas no inciso XIV deste artigo, exceto as decorrentes de moléstia profissional, com base em conclusão da medicina especializada, mesmo que a doença tenha sido contraída após a concessão da pensão. </w:t>
      </w:r>
      <w:r w:rsidRPr="0002253F">
        <w:rPr>
          <w:lang w:val="pt-BR"/>
        </w:rPr>
        <w:t xml:space="preserve">(Incluído pela Lei nº 8.541, de 1992) (Vide Lei 9.250, de 1995) </w:t>
      </w:r>
    </w:p>
  </w:footnote>
  <w:footnote w:id="6">
    <w:p w14:paraId="25CEFDDE" w14:textId="77777777" w:rsidR="00BC6E9B" w:rsidRPr="0002253F" w:rsidRDefault="00000000">
      <w:pPr>
        <w:pStyle w:val="footnotedescription"/>
        <w:spacing w:line="242" w:lineRule="auto"/>
        <w:ind w:right="1"/>
        <w:rPr>
          <w:lang w:val="pt-BR"/>
        </w:rPr>
      </w:pPr>
      <w:r>
        <w:rPr>
          <w:rStyle w:val="footnotemark"/>
        </w:rPr>
        <w:footnoteRef/>
      </w:r>
      <w:r w:rsidRPr="0002253F">
        <w:rPr>
          <w:lang w:val="pt-BR"/>
        </w:rPr>
        <w:t xml:space="preserve"> Nesse sentido, convém citar trecho da decisão monocrática no AREsp nº 547.665-PR, da lavra do Ministro Humberto Martins, que bem sintetiza o entendimento pacificado pela Corte: “Quanto ao mérito, o art. 6º, inciso XIV, da Lei n. 7.713/1988 exige, para que se reconheça o direito à isenção de imposto de renda, a presença de dois requisitos cumulativos: que os rendimentos sejam relativos à aposentadoria, pensão ou reforma; e que a pessoa física seja portadora de uma das doenças ali elencadas. No presente caso, verifica-se que o Tribunal a quo decidiu de acordo com jurisprudência desta Corte no sentido da desnecessidade de prova da contemporaneidade dos sintomas da neoplasia maligna, para fins de gozo da isenção prevista no art. 6º, inciso XIV, da Lei n. 7.713/88”. </w:t>
      </w:r>
    </w:p>
  </w:footnote>
  <w:footnote w:id="7">
    <w:p w14:paraId="10EDF6DB" w14:textId="77777777" w:rsidR="00BC6E9B" w:rsidRPr="0002253F" w:rsidRDefault="00000000">
      <w:pPr>
        <w:pStyle w:val="footnotedescription"/>
        <w:spacing w:line="248" w:lineRule="auto"/>
        <w:rPr>
          <w:lang w:val="pt-BR"/>
        </w:rPr>
      </w:pPr>
      <w:r>
        <w:rPr>
          <w:rStyle w:val="footnotemark"/>
        </w:rPr>
        <w:footnoteRef/>
      </w:r>
      <w:r w:rsidRPr="0002253F">
        <w:rPr>
          <w:lang w:val="pt-BR"/>
        </w:rPr>
        <w:t xml:space="preserve"> </w:t>
      </w:r>
      <w:r w:rsidRPr="0002253F">
        <w:rPr>
          <w:lang w:val="pt-BR"/>
        </w:rPr>
        <w:t xml:space="preserve">Art. 2º Além das hipóteses previstas no art. 1º desta Portaria, os Procuradores da Fazenda Nacional ficam autorizados a não apresentar recursos, bem como a desistir dos já interpostos, nas seguintes situações: (Redação dada pela Portaria PGFN nº. 716, de julho de 2010) I - quando o acórdão ou a decisão monocrática, proferida por Tribunal Regional Federal, pelo STJ ou pelo STF, tratar de questão jurídica, de índole material ou processual, já definida pelos referidos Tribunais Superiores, em jurisprudência reiterada e pacífica. (...)§1º Para os fins a que se destinam os incisos I e III, alínea “a” do presente artigo, consideram-se como questões definidas em “jurisprudência reiterada e pacífica” pelo STF ou pelo STJ apenas aquelas assim indicadas em lista elaborada e divulgada, respectivamente, pela CASTF e pela CRJ, que será atualizada periodicamente, podendo sempre os Procuradores-Regionais da Fazenda Nacional auxiliar na sua atualização, encaminhando a essas duas Coordenações sugestões de novos temas a serem incluídos na referida lista. </w:t>
      </w:r>
      <w:r w:rsidRPr="0002253F">
        <w:rPr>
          <w:vertAlign w:val="superscript"/>
          <w:lang w:val="pt-BR"/>
        </w:rPr>
        <w:t>11</w:t>
      </w:r>
      <w:r w:rsidRPr="0002253F">
        <w:rPr>
          <w:lang w:val="pt-BR"/>
        </w:rPr>
        <w:t xml:space="preserve"> Nos termos do art. 19, §§ 4º, 5º e 7º, da Lei nº 10.522, de 2002.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F6BC6" w14:textId="77777777" w:rsidR="00BC6E9B" w:rsidRDefault="00000000">
    <w:pPr>
      <w:spacing w:after="220"/>
      <w:ind w:left="-497"/>
    </w:pPr>
    <w:r>
      <w:rPr>
        <w:noProof/>
      </w:rPr>
      <mc:AlternateContent>
        <mc:Choice Requires="wpg">
          <w:drawing>
            <wp:anchor distT="0" distB="0" distL="114300" distR="114300" simplePos="0" relativeHeight="251658240" behindDoc="0" locked="0" layoutInCell="1" allowOverlap="1" wp14:anchorId="78A40C3B" wp14:editId="48763223">
              <wp:simplePos x="0" y="0"/>
              <wp:positionH relativeFrom="page">
                <wp:posOffset>1124585</wp:posOffset>
              </wp:positionH>
              <wp:positionV relativeFrom="page">
                <wp:posOffset>566752</wp:posOffset>
              </wp:positionV>
              <wp:extent cx="719455" cy="724985"/>
              <wp:effectExtent l="0" t="0" r="0" b="0"/>
              <wp:wrapSquare wrapText="bothSides"/>
              <wp:docPr id="19175" name="Group 19175"/>
              <wp:cNvGraphicFramePr/>
              <a:graphic xmlns:a="http://schemas.openxmlformats.org/drawingml/2006/main">
                <a:graphicData uri="http://schemas.microsoft.com/office/word/2010/wordprocessingGroup">
                  <wpg:wgp>
                    <wpg:cNvGrpSpPr/>
                    <wpg:grpSpPr>
                      <a:xfrm>
                        <a:off x="0" y="0"/>
                        <a:ext cx="719455" cy="724985"/>
                        <a:chOff x="0" y="0"/>
                        <a:chExt cx="719455" cy="724985"/>
                      </a:xfrm>
                    </wpg:grpSpPr>
                    <wps:wsp>
                      <wps:cNvPr id="19177" name="Rectangle 19177"/>
                      <wps:cNvSpPr/>
                      <wps:spPr>
                        <a:xfrm>
                          <a:off x="495681" y="0"/>
                          <a:ext cx="46741" cy="187581"/>
                        </a:xfrm>
                        <a:prstGeom prst="rect">
                          <a:avLst/>
                        </a:prstGeom>
                        <a:ln>
                          <a:noFill/>
                        </a:ln>
                      </wps:spPr>
                      <wps:txbx>
                        <w:txbxContent>
                          <w:p w14:paraId="4272E34B" w14:textId="77777777" w:rsidR="00BC6E9B" w:rsidRDefault="00000000">
                            <w:r>
                              <w:rPr>
                                <w:rFonts w:ascii="Arial" w:eastAsia="Arial" w:hAnsi="Arial" w:cs="Arial"/>
                                <w:sz w:val="20"/>
                              </w:rPr>
                              <w:t xml:space="preserve"> </w:t>
                            </w:r>
                          </w:p>
                        </w:txbxContent>
                      </wps:txbx>
                      <wps:bodyPr horzOverflow="overflow" vert="horz" lIns="0" tIns="0" rIns="0" bIns="0" rtlCol="0">
                        <a:noAutofit/>
                      </wps:bodyPr>
                    </wps:wsp>
                    <wps:wsp>
                      <wps:cNvPr id="19178" name="Rectangle 19178"/>
                      <wps:cNvSpPr/>
                      <wps:spPr>
                        <a:xfrm>
                          <a:off x="432" y="583947"/>
                          <a:ext cx="46741" cy="187581"/>
                        </a:xfrm>
                        <a:prstGeom prst="rect">
                          <a:avLst/>
                        </a:prstGeom>
                        <a:ln>
                          <a:noFill/>
                        </a:ln>
                      </wps:spPr>
                      <wps:txbx>
                        <w:txbxContent>
                          <w:p w14:paraId="5E50F2D4" w14:textId="77777777" w:rsidR="00BC6E9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9176" name="Picture 19176"/>
                        <pic:cNvPicPr/>
                      </pic:nvPicPr>
                      <pic:blipFill>
                        <a:blip r:embed="rId1"/>
                        <a:stretch>
                          <a:fillRect/>
                        </a:stretch>
                      </pic:blipFill>
                      <pic:spPr>
                        <a:xfrm>
                          <a:off x="0" y="26337"/>
                          <a:ext cx="719455" cy="665480"/>
                        </a:xfrm>
                        <a:prstGeom prst="rect">
                          <a:avLst/>
                        </a:prstGeom>
                      </pic:spPr>
                    </pic:pic>
                  </wpg:wgp>
                </a:graphicData>
              </a:graphic>
            </wp:anchor>
          </w:drawing>
        </mc:Choice>
        <mc:Fallback xmlns:a="http://schemas.openxmlformats.org/drawingml/2006/main">
          <w:pict>
            <v:group id="Group 19175" style="width:56.65pt;height:57.0854pt;position:absolute;mso-position-horizontal-relative:page;mso-position-horizontal:absolute;margin-left:88.55pt;mso-position-vertical-relative:page;margin-top:44.6262pt;" coordsize="7194,7249">
              <v:rect id="Rectangle 19177" style="position:absolute;width:467;height:1875;left:4956;top:0;" filled="f" stroked="f">
                <v:textbox inset="0,0,0,0">
                  <w:txbxContent>
                    <w:p>
                      <w:pPr>
                        <w:spacing w:before="0" w:after="160" w:line="259" w:lineRule="auto"/>
                      </w:pPr>
                      <w:r>
                        <w:rPr>
                          <w:rFonts w:cs="Arial" w:hAnsi="Arial" w:eastAsia="Arial" w:ascii="Arial"/>
                          <w:sz w:val="20"/>
                        </w:rPr>
                        <w:t xml:space="preserve"> </w:t>
                      </w:r>
                    </w:p>
                  </w:txbxContent>
                </v:textbox>
              </v:rect>
              <v:rect id="Rectangle 19178" style="position:absolute;width:467;height:1875;left:4;top:5839;" filled="f" stroked="f">
                <v:textbox inset="0,0,0,0">
                  <w:txbxContent>
                    <w:p>
                      <w:pPr>
                        <w:spacing w:before="0" w:after="160" w:line="259" w:lineRule="auto"/>
                      </w:pPr>
                      <w:r>
                        <w:rPr>
                          <w:rFonts w:cs="Arial" w:hAnsi="Arial" w:eastAsia="Arial" w:ascii="Arial"/>
                          <w:sz w:val="20"/>
                        </w:rPr>
                        <w:t xml:space="preserve"> </w:t>
                      </w:r>
                    </w:p>
                  </w:txbxContent>
                </v:textbox>
              </v:rect>
              <v:shape id="Picture 19176" style="position:absolute;width:7194;height:6654;left:0;top:263;" filled="f">
                <v:imagedata r:id="rId14"/>
              </v:shape>
              <w10:wrap type="square"/>
            </v:group>
          </w:pict>
        </mc:Fallback>
      </mc:AlternateContent>
    </w:r>
    <w:r>
      <w:rPr>
        <w:rFonts w:ascii="Arial" w:eastAsia="Arial" w:hAnsi="Arial" w:cs="Arial"/>
        <w:sz w:val="20"/>
      </w:rPr>
      <w:t xml:space="preserve"> </w:t>
    </w:r>
    <w:r>
      <w:rPr>
        <w:rFonts w:ascii="Arial" w:eastAsia="Arial" w:hAnsi="Arial" w:cs="Arial"/>
        <w:sz w:val="20"/>
      </w:rPr>
      <w:tab/>
      <w:t xml:space="preserve"> </w:t>
    </w:r>
  </w:p>
  <w:p w14:paraId="45E650C3" w14:textId="77777777" w:rsidR="00BC6E9B" w:rsidRPr="0002253F" w:rsidRDefault="00000000">
    <w:pPr>
      <w:spacing w:after="0"/>
      <w:ind w:left="211"/>
      <w:rPr>
        <w:lang w:val="pt-BR"/>
      </w:rPr>
    </w:pPr>
    <w:r w:rsidRPr="0002253F">
      <w:rPr>
        <w:rFonts w:ascii="Arial" w:eastAsia="Arial" w:hAnsi="Arial" w:cs="Arial"/>
        <w:sz w:val="20"/>
        <w:lang w:val="pt-BR"/>
      </w:rPr>
      <w:t xml:space="preserve">Procuradoria-Geral da Fazenda Nacional </w:t>
    </w:r>
  </w:p>
  <w:p w14:paraId="2FB52DC5" w14:textId="77777777" w:rsidR="00BC6E9B" w:rsidRPr="0002253F" w:rsidRDefault="00000000">
    <w:pPr>
      <w:spacing w:after="230" w:line="240" w:lineRule="auto"/>
      <w:ind w:left="211"/>
      <w:rPr>
        <w:lang w:val="pt-BR"/>
      </w:rPr>
    </w:pPr>
    <w:r w:rsidRPr="0002253F">
      <w:rPr>
        <w:rFonts w:ascii="Arial" w:eastAsia="Arial" w:hAnsi="Arial" w:cs="Arial"/>
        <w:sz w:val="20"/>
        <w:lang w:val="pt-BR"/>
      </w:rPr>
      <w:t xml:space="preserve">Coordenação-Geral da Representação Judicial da Fazenda Nacional – CRJ  Coordenação de Consultoria Judicial – COJUD </w:t>
    </w:r>
  </w:p>
  <w:p w14:paraId="54A9ABBE" w14:textId="77777777" w:rsidR="00BC6E9B" w:rsidRDefault="00000000">
    <w:pPr>
      <w:spacing w:after="0"/>
      <w:ind w:right="87"/>
      <w:jc w:val="right"/>
    </w:pPr>
    <w:r w:rsidRPr="0002253F">
      <w:rPr>
        <w:rFonts w:ascii="Arial" w:eastAsia="Arial" w:hAnsi="Arial" w:cs="Arial"/>
        <w:sz w:val="10"/>
        <w:lang w:val="pt-BR"/>
      </w:rPr>
      <w:t xml:space="preserve">                                                                                                                                                                                                                       </w:t>
    </w:r>
    <w:r w:rsidRPr="0002253F">
      <w:rPr>
        <w:rFonts w:ascii="Arial" w:eastAsia="Arial" w:hAnsi="Arial" w:cs="Arial"/>
        <w:sz w:val="16"/>
        <w:lang w:val="pt-BR"/>
      </w:rPr>
      <w:t xml:space="preserve">   </w:t>
    </w:r>
    <w:r>
      <w:rPr>
        <w:rFonts w:ascii="Arial" w:eastAsia="Arial" w:hAnsi="Arial" w:cs="Arial"/>
        <w:sz w:val="16"/>
      </w:rPr>
      <w:t xml:space="preserve">Registro PGFNDocs nº 00040515/2016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73701" w14:textId="77777777" w:rsidR="00BC6E9B" w:rsidRDefault="00000000">
    <w:pPr>
      <w:spacing w:after="220"/>
      <w:ind w:left="-497"/>
    </w:pPr>
    <w:r>
      <w:rPr>
        <w:noProof/>
      </w:rPr>
      <mc:AlternateContent>
        <mc:Choice Requires="wpg">
          <w:drawing>
            <wp:anchor distT="0" distB="0" distL="114300" distR="114300" simplePos="0" relativeHeight="251659264" behindDoc="0" locked="0" layoutInCell="1" allowOverlap="1" wp14:anchorId="796E488C" wp14:editId="16E208EA">
              <wp:simplePos x="0" y="0"/>
              <wp:positionH relativeFrom="page">
                <wp:posOffset>1124585</wp:posOffset>
              </wp:positionH>
              <wp:positionV relativeFrom="page">
                <wp:posOffset>566752</wp:posOffset>
              </wp:positionV>
              <wp:extent cx="719455" cy="724985"/>
              <wp:effectExtent l="0" t="0" r="0" b="0"/>
              <wp:wrapSquare wrapText="bothSides"/>
              <wp:docPr id="19114" name="Group 19114"/>
              <wp:cNvGraphicFramePr/>
              <a:graphic xmlns:a="http://schemas.openxmlformats.org/drawingml/2006/main">
                <a:graphicData uri="http://schemas.microsoft.com/office/word/2010/wordprocessingGroup">
                  <wpg:wgp>
                    <wpg:cNvGrpSpPr/>
                    <wpg:grpSpPr>
                      <a:xfrm>
                        <a:off x="0" y="0"/>
                        <a:ext cx="719455" cy="724985"/>
                        <a:chOff x="0" y="0"/>
                        <a:chExt cx="719455" cy="724985"/>
                      </a:xfrm>
                    </wpg:grpSpPr>
                    <wps:wsp>
                      <wps:cNvPr id="19116" name="Rectangle 19116"/>
                      <wps:cNvSpPr/>
                      <wps:spPr>
                        <a:xfrm>
                          <a:off x="495681" y="0"/>
                          <a:ext cx="46741" cy="187581"/>
                        </a:xfrm>
                        <a:prstGeom prst="rect">
                          <a:avLst/>
                        </a:prstGeom>
                        <a:ln>
                          <a:noFill/>
                        </a:ln>
                      </wps:spPr>
                      <wps:txbx>
                        <w:txbxContent>
                          <w:p w14:paraId="7D19B129" w14:textId="77777777" w:rsidR="00BC6E9B" w:rsidRDefault="00000000">
                            <w:r>
                              <w:rPr>
                                <w:rFonts w:ascii="Arial" w:eastAsia="Arial" w:hAnsi="Arial" w:cs="Arial"/>
                                <w:sz w:val="20"/>
                              </w:rPr>
                              <w:t xml:space="preserve"> </w:t>
                            </w:r>
                          </w:p>
                        </w:txbxContent>
                      </wps:txbx>
                      <wps:bodyPr horzOverflow="overflow" vert="horz" lIns="0" tIns="0" rIns="0" bIns="0" rtlCol="0">
                        <a:noAutofit/>
                      </wps:bodyPr>
                    </wps:wsp>
                    <wps:wsp>
                      <wps:cNvPr id="19117" name="Rectangle 19117"/>
                      <wps:cNvSpPr/>
                      <wps:spPr>
                        <a:xfrm>
                          <a:off x="432" y="583947"/>
                          <a:ext cx="46741" cy="187581"/>
                        </a:xfrm>
                        <a:prstGeom prst="rect">
                          <a:avLst/>
                        </a:prstGeom>
                        <a:ln>
                          <a:noFill/>
                        </a:ln>
                      </wps:spPr>
                      <wps:txbx>
                        <w:txbxContent>
                          <w:p w14:paraId="06F4AB13" w14:textId="77777777" w:rsidR="00BC6E9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9115" name="Picture 19115"/>
                        <pic:cNvPicPr/>
                      </pic:nvPicPr>
                      <pic:blipFill>
                        <a:blip r:embed="rId1"/>
                        <a:stretch>
                          <a:fillRect/>
                        </a:stretch>
                      </pic:blipFill>
                      <pic:spPr>
                        <a:xfrm>
                          <a:off x="0" y="26337"/>
                          <a:ext cx="719455" cy="665480"/>
                        </a:xfrm>
                        <a:prstGeom prst="rect">
                          <a:avLst/>
                        </a:prstGeom>
                      </pic:spPr>
                    </pic:pic>
                  </wpg:wgp>
                </a:graphicData>
              </a:graphic>
            </wp:anchor>
          </w:drawing>
        </mc:Choice>
        <mc:Fallback xmlns:a="http://schemas.openxmlformats.org/drawingml/2006/main">
          <w:pict>
            <v:group id="Group 19114" style="width:56.65pt;height:57.0854pt;position:absolute;mso-position-horizontal-relative:page;mso-position-horizontal:absolute;margin-left:88.55pt;mso-position-vertical-relative:page;margin-top:44.6262pt;" coordsize="7194,7249">
              <v:rect id="Rectangle 19116" style="position:absolute;width:467;height:1875;left:4956;top:0;" filled="f" stroked="f">
                <v:textbox inset="0,0,0,0">
                  <w:txbxContent>
                    <w:p>
                      <w:pPr>
                        <w:spacing w:before="0" w:after="160" w:line="259" w:lineRule="auto"/>
                      </w:pPr>
                      <w:r>
                        <w:rPr>
                          <w:rFonts w:cs="Arial" w:hAnsi="Arial" w:eastAsia="Arial" w:ascii="Arial"/>
                          <w:sz w:val="20"/>
                        </w:rPr>
                        <w:t xml:space="preserve"> </w:t>
                      </w:r>
                    </w:p>
                  </w:txbxContent>
                </v:textbox>
              </v:rect>
              <v:rect id="Rectangle 19117" style="position:absolute;width:467;height:1875;left:4;top:5839;" filled="f" stroked="f">
                <v:textbox inset="0,0,0,0">
                  <w:txbxContent>
                    <w:p>
                      <w:pPr>
                        <w:spacing w:before="0" w:after="160" w:line="259" w:lineRule="auto"/>
                      </w:pPr>
                      <w:r>
                        <w:rPr>
                          <w:rFonts w:cs="Arial" w:hAnsi="Arial" w:eastAsia="Arial" w:ascii="Arial"/>
                          <w:sz w:val="20"/>
                        </w:rPr>
                        <w:t xml:space="preserve"> </w:t>
                      </w:r>
                    </w:p>
                  </w:txbxContent>
                </v:textbox>
              </v:rect>
              <v:shape id="Picture 19115" style="position:absolute;width:7194;height:6654;left:0;top:263;" filled="f">
                <v:imagedata r:id="rId14"/>
              </v:shape>
              <w10:wrap type="square"/>
            </v:group>
          </w:pict>
        </mc:Fallback>
      </mc:AlternateContent>
    </w:r>
    <w:r>
      <w:rPr>
        <w:rFonts w:ascii="Arial" w:eastAsia="Arial" w:hAnsi="Arial" w:cs="Arial"/>
        <w:sz w:val="20"/>
      </w:rPr>
      <w:t xml:space="preserve"> </w:t>
    </w:r>
    <w:r>
      <w:rPr>
        <w:rFonts w:ascii="Arial" w:eastAsia="Arial" w:hAnsi="Arial" w:cs="Arial"/>
        <w:sz w:val="20"/>
      </w:rPr>
      <w:tab/>
      <w:t xml:space="preserve"> </w:t>
    </w:r>
  </w:p>
  <w:p w14:paraId="45E6235D" w14:textId="77777777" w:rsidR="00BC6E9B" w:rsidRPr="0002253F" w:rsidRDefault="00000000">
    <w:pPr>
      <w:spacing w:after="0"/>
      <w:ind w:left="211"/>
      <w:rPr>
        <w:lang w:val="pt-BR"/>
      </w:rPr>
    </w:pPr>
    <w:r w:rsidRPr="0002253F">
      <w:rPr>
        <w:rFonts w:ascii="Arial" w:eastAsia="Arial" w:hAnsi="Arial" w:cs="Arial"/>
        <w:sz w:val="20"/>
        <w:lang w:val="pt-BR"/>
      </w:rPr>
      <w:t xml:space="preserve">Procuradoria-Geral da Fazenda Nacional </w:t>
    </w:r>
  </w:p>
  <w:p w14:paraId="28E78652" w14:textId="77777777" w:rsidR="00BC6E9B" w:rsidRPr="0002253F" w:rsidRDefault="00000000">
    <w:pPr>
      <w:spacing w:after="230" w:line="240" w:lineRule="auto"/>
      <w:ind w:left="211"/>
      <w:rPr>
        <w:lang w:val="pt-BR"/>
      </w:rPr>
    </w:pPr>
    <w:r w:rsidRPr="0002253F">
      <w:rPr>
        <w:rFonts w:ascii="Arial" w:eastAsia="Arial" w:hAnsi="Arial" w:cs="Arial"/>
        <w:sz w:val="20"/>
        <w:lang w:val="pt-BR"/>
      </w:rPr>
      <w:t xml:space="preserve">Coordenação-Geral da Representação Judicial da Fazenda Nacional – CRJ  Coordenação de Consultoria Judicial – COJUD </w:t>
    </w:r>
  </w:p>
  <w:p w14:paraId="5518C1F8" w14:textId="77777777" w:rsidR="00BC6E9B" w:rsidRDefault="00000000">
    <w:pPr>
      <w:spacing w:after="0"/>
      <w:ind w:right="87"/>
      <w:jc w:val="right"/>
    </w:pPr>
    <w:r w:rsidRPr="0002253F">
      <w:rPr>
        <w:rFonts w:ascii="Arial" w:eastAsia="Arial" w:hAnsi="Arial" w:cs="Arial"/>
        <w:sz w:val="10"/>
        <w:lang w:val="pt-BR"/>
      </w:rPr>
      <w:t xml:space="preserve">                                                                                                                                                                                                                       </w:t>
    </w:r>
    <w:r w:rsidRPr="0002253F">
      <w:rPr>
        <w:rFonts w:ascii="Arial" w:eastAsia="Arial" w:hAnsi="Arial" w:cs="Arial"/>
        <w:sz w:val="16"/>
        <w:lang w:val="pt-BR"/>
      </w:rPr>
      <w:t xml:space="preserve">   </w:t>
    </w:r>
    <w:r>
      <w:rPr>
        <w:rFonts w:ascii="Arial" w:eastAsia="Arial" w:hAnsi="Arial" w:cs="Arial"/>
        <w:sz w:val="16"/>
      </w:rPr>
      <w:t xml:space="preserve">Registro PGFNDocs nº 00040515/2016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CDA94" w14:textId="77777777" w:rsidR="00BC6E9B" w:rsidRDefault="00000000">
    <w:pPr>
      <w:spacing w:after="0"/>
      <w:ind w:left="-497"/>
    </w:pPr>
    <w:r>
      <w:rPr>
        <w:noProof/>
      </w:rPr>
      <w:drawing>
        <wp:anchor distT="0" distB="0" distL="114300" distR="114300" simplePos="0" relativeHeight="251660288" behindDoc="0" locked="0" layoutInCell="1" allowOverlap="0" wp14:anchorId="787CBBC4" wp14:editId="643C4856">
          <wp:simplePos x="0" y="0"/>
          <wp:positionH relativeFrom="page">
            <wp:posOffset>1034415</wp:posOffset>
          </wp:positionH>
          <wp:positionV relativeFrom="page">
            <wp:posOffset>593090</wp:posOffset>
          </wp:positionV>
          <wp:extent cx="719455" cy="665480"/>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719455" cy="665480"/>
                  </a:xfrm>
                  <a:prstGeom prst="rect">
                    <a:avLst/>
                  </a:prstGeom>
                </pic:spPr>
              </pic:pic>
            </a:graphicData>
          </a:graphic>
        </wp:anchor>
      </w:drawing>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66D3"/>
    <w:multiLevelType w:val="hybridMultilevel"/>
    <w:tmpl w:val="EA24265E"/>
    <w:lvl w:ilvl="0" w:tplc="65F6EF3C">
      <w:start w:val="1"/>
      <w:numFmt w:val="decimal"/>
      <w:lvlText w:val="%1."/>
      <w:lvlJc w:val="left"/>
      <w:pPr>
        <w:ind w:left="1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EEDD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3205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1645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9EA3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4CB9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CE42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2ACB4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76B3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21501C"/>
    <w:multiLevelType w:val="hybridMultilevel"/>
    <w:tmpl w:val="1D0C97A4"/>
    <w:lvl w:ilvl="0" w:tplc="EBC80F26">
      <w:start w:val="1"/>
      <w:numFmt w:val="decimal"/>
      <w:lvlText w:val="%1."/>
      <w:lvlJc w:val="left"/>
      <w:pPr>
        <w:ind w:left="2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9E23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BEC5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2848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FC999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0E59B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50BC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9492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5CD9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CBE23FE"/>
    <w:multiLevelType w:val="hybridMultilevel"/>
    <w:tmpl w:val="0F0812D0"/>
    <w:lvl w:ilvl="0" w:tplc="32E6002E">
      <w:start w:val="1"/>
      <w:numFmt w:val="decimal"/>
      <w:lvlText w:val="%1."/>
      <w:lvlJc w:val="left"/>
      <w:pPr>
        <w:ind w:left="2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FE01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EAC3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0CC4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140B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E6DF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12E3B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004E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52E4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AD4BAE"/>
    <w:multiLevelType w:val="hybridMultilevel"/>
    <w:tmpl w:val="36722814"/>
    <w:lvl w:ilvl="0" w:tplc="D20A7C92">
      <w:start w:val="1"/>
      <w:numFmt w:val="decimal"/>
      <w:lvlText w:val="%1."/>
      <w:lvlJc w:val="left"/>
      <w:pPr>
        <w:ind w:left="2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88C7B4">
      <w:start w:val="1"/>
      <w:numFmt w:val="lowerLetter"/>
      <w:lvlText w:val="%2"/>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38EC3A">
      <w:start w:val="1"/>
      <w:numFmt w:val="lowerRoman"/>
      <w:lvlText w:val="%3"/>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EE59C8">
      <w:start w:val="1"/>
      <w:numFmt w:val="decimal"/>
      <w:lvlText w:val="%4"/>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DA5F2E">
      <w:start w:val="1"/>
      <w:numFmt w:val="lowerLetter"/>
      <w:lvlText w:val="%5"/>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766778">
      <w:start w:val="1"/>
      <w:numFmt w:val="lowerRoman"/>
      <w:lvlText w:val="%6"/>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1413C2">
      <w:start w:val="1"/>
      <w:numFmt w:val="decimal"/>
      <w:lvlText w:val="%7"/>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463D2C">
      <w:start w:val="1"/>
      <w:numFmt w:val="lowerLetter"/>
      <w:lvlText w:val="%8"/>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80ECD4">
      <w:start w:val="1"/>
      <w:numFmt w:val="lowerRoman"/>
      <w:lvlText w:val="%9"/>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7C0F57"/>
    <w:multiLevelType w:val="hybridMultilevel"/>
    <w:tmpl w:val="45BA825C"/>
    <w:lvl w:ilvl="0" w:tplc="9CD88196">
      <w:start w:val="7"/>
      <w:numFmt w:val="decimal"/>
      <w:lvlText w:val="%1."/>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38DE6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5841F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0268D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EAA62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5A35D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10F81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F4BCB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8C2A0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8D4EA9"/>
    <w:multiLevelType w:val="hybridMultilevel"/>
    <w:tmpl w:val="D5747352"/>
    <w:lvl w:ilvl="0" w:tplc="6C4ACBA0">
      <w:start w:val="1"/>
      <w:numFmt w:val="decimal"/>
      <w:lvlText w:val="%1."/>
      <w:lvlJc w:val="left"/>
      <w:pPr>
        <w:ind w:left="2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3410C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D6ACB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FC20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2220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A8BE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C2A5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9C8F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EE7F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B610EBA"/>
    <w:multiLevelType w:val="hybridMultilevel"/>
    <w:tmpl w:val="5BF433A8"/>
    <w:lvl w:ilvl="0" w:tplc="FEDE43AC">
      <w:start w:val="9"/>
      <w:numFmt w:val="decimal"/>
      <w:lvlText w:val="%1."/>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90090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38B99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547F2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AA6ED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A0D55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5480F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5CC84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C4D98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A843C7F"/>
    <w:multiLevelType w:val="hybridMultilevel"/>
    <w:tmpl w:val="2AE295CE"/>
    <w:lvl w:ilvl="0" w:tplc="79D203E4">
      <w:start w:val="2"/>
      <w:numFmt w:val="decimal"/>
      <w:lvlText w:val="%1."/>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22015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AE3B0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9EF6E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2A78A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BC887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858190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5CA31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64759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B8F4E06"/>
    <w:multiLevelType w:val="hybridMultilevel"/>
    <w:tmpl w:val="1110EF9C"/>
    <w:lvl w:ilvl="0" w:tplc="EC9A6156">
      <w:start w:val="19"/>
      <w:numFmt w:val="decimal"/>
      <w:lvlText w:val="%1."/>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AD73E">
      <w:start w:val="1"/>
      <w:numFmt w:val="lowerLetter"/>
      <w:lvlText w:val="%2"/>
      <w:lvlJc w:val="left"/>
      <w:pPr>
        <w:ind w:left="12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30A1B8">
      <w:start w:val="1"/>
      <w:numFmt w:val="lowerRoman"/>
      <w:lvlText w:val="%3"/>
      <w:lvlJc w:val="left"/>
      <w:pPr>
        <w:ind w:left="19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9E7AFC">
      <w:start w:val="1"/>
      <w:numFmt w:val="decimal"/>
      <w:lvlText w:val="%4"/>
      <w:lvlJc w:val="left"/>
      <w:pPr>
        <w:ind w:left="26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1AFC7A">
      <w:start w:val="1"/>
      <w:numFmt w:val="lowerLetter"/>
      <w:lvlText w:val="%5"/>
      <w:lvlJc w:val="left"/>
      <w:pPr>
        <w:ind w:left="3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8EB526">
      <w:start w:val="1"/>
      <w:numFmt w:val="lowerRoman"/>
      <w:lvlText w:val="%6"/>
      <w:lvlJc w:val="left"/>
      <w:pPr>
        <w:ind w:left="4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52EA30">
      <w:start w:val="1"/>
      <w:numFmt w:val="decimal"/>
      <w:lvlText w:val="%7"/>
      <w:lvlJc w:val="left"/>
      <w:pPr>
        <w:ind w:left="4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9E1672">
      <w:start w:val="1"/>
      <w:numFmt w:val="lowerLetter"/>
      <w:lvlText w:val="%8"/>
      <w:lvlJc w:val="left"/>
      <w:pPr>
        <w:ind w:left="5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04D5E0">
      <w:start w:val="1"/>
      <w:numFmt w:val="lowerRoman"/>
      <w:lvlText w:val="%9"/>
      <w:lvlJc w:val="left"/>
      <w:pPr>
        <w:ind w:left="6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2AC2616"/>
    <w:multiLevelType w:val="hybridMultilevel"/>
    <w:tmpl w:val="B58EA9F0"/>
    <w:lvl w:ilvl="0" w:tplc="0254907E">
      <w:start w:val="5"/>
      <w:numFmt w:val="decimal"/>
      <w:lvlText w:val="%1."/>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E0F7B6">
      <w:start w:val="1"/>
      <w:numFmt w:val="decimal"/>
      <w:lvlText w:val="%2."/>
      <w:lvlJc w:val="left"/>
      <w:pPr>
        <w:ind w:left="2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9158">
      <w:start w:val="1"/>
      <w:numFmt w:val="lowerRoman"/>
      <w:lvlText w:val="%3"/>
      <w:lvlJc w:val="left"/>
      <w:pPr>
        <w:ind w:left="1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DC7A16">
      <w:start w:val="1"/>
      <w:numFmt w:val="decimal"/>
      <w:lvlText w:val="%4"/>
      <w:lvlJc w:val="left"/>
      <w:pPr>
        <w:ind w:left="2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D0F054">
      <w:start w:val="1"/>
      <w:numFmt w:val="lowerLetter"/>
      <w:lvlText w:val="%5"/>
      <w:lvlJc w:val="left"/>
      <w:pPr>
        <w:ind w:left="3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EA1998">
      <w:start w:val="1"/>
      <w:numFmt w:val="lowerRoman"/>
      <w:lvlText w:val="%6"/>
      <w:lvlJc w:val="left"/>
      <w:pPr>
        <w:ind w:left="3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62D9F8">
      <w:start w:val="1"/>
      <w:numFmt w:val="decimal"/>
      <w:lvlText w:val="%7"/>
      <w:lvlJc w:val="left"/>
      <w:pPr>
        <w:ind w:left="4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E2FF16">
      <w:start w:val="1"/>
      <w:numFmt w:val="lowerLetter"/>
      <w:lvlText w:val="%8"/>
      <w:lvlJc w:val="left"/>
      <w:pPr>
        <w:ind w:left="5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864300">
      <w:start w:val="1"/>
      <w:numFmt w:val="lowerRoman"/>
      <w:lvlText w:val="%9"/>
      <w:lvlJc w:val="left"/>
      <w:pPr>
        <w:ind w:left="6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AD6610C"/>
    <w:multiLevelType w:val="hybridMultilevel"/>
    <w:tmpl w:val="B726ABE6"/>
    <w:lvl w:ilvl="0" w:tplc="0382DDC8">
      <w:start w:val="1"/>
      <w:numFmt w:val="decimal"/>
      <w:lvlText w:val="%1."/>
      <w:lvlJc w:val="left"/>
      <w:pPr>
        <w:ind w:left="2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1CC084">
      <w:start w:val="1"/>
      <w:numFmt w:val="decimal"/>
      <w:lvlText w:val="%2."/>
      <w:lvlJc w:val="left"/>
      <w:pPr>
        <w:ind w:left="1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E81114">
      <w:start w:val="1"/>
      <w:numFmt w:val="lowerRoman"/>
      <w:lvlText w:val="%3"/>
      <w:lvlJc w:val="left"/>
      <w:pPr>
        <w:ind w:left="2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C04958">
      <w:start w:val="1"/>
      <w:numFmt w:val="decimal"/>
      <w:lvlText w:val="%4"/>
      <w:lvlJc w:val="left"/>
      <w:pPr>
        <w:ind w:left="3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66A134">
      <w:start w:val="1"/>
      <w:numFmt w:val="lowerLetter"/>
      <w:lvlText w:val="%5"/>
      <w:lvlJc w:val="left"/>
      <w:pPr>
        <w:ind w:left="4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C068C4">
      <w:start w:val="1"/>
      <w:numFmt w:val="lowerRoman"/>
      <w:lvlText w:val="%6"/>
      <w:lvlJc w:val="left"/>
      <w:pPr>
        <w:ind w:left="4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8EFBDE">
      <w:start w:val="1"/>
      <w:numFmt w:val="decimal"/>
      <w:lvlText w:val="%7"/>
      <w:lvlJc w:val="left"/>
      <w:pPr>
        <w:ind w:left="5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86FC02">
      <w:start w:val="1"/>
      <w:numFmt w:val="lowerLetter"/>
      <w:lvlText w:val="%8"/>
      <w:lvlJc w:val="left"/>
      <w:pPr>
        <w:ind w:left="6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AAC606">
      <w:start w:val="1"/>
      <w:numFmt w:val="lowerRoman"/>
      <w:lvlText w:val="%9"/>
      <w:lvlJc w:val="left"/>
      <w:pPr>
        <w:ind w:left="7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408172D"/>
    <w:multiLevelType w:val="hybridMultilevel"/>
    <w:tmpl w:val="9A346A80"/>
    <w:lvl w:ilvl="0" w:tplc="44F61928">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72BD08">
      <w:start w:val="1"/>
      <w:numFmt w:val="lowerLetter"/>
      <w:lvlText w:val="%2)"/>
      <w:lvlJc w:val="left"/>
      <w:pPr>
        <w:ind w:left="15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666B74">
      <w:start w:val="1"/>
      <w:numFmt w:val="lowerRoman"/>
      <w:lvlText w:val="%3"/>
      <w:lvlJc w:val="left"/>
      <w:pPr>
        <w:ind w:left="2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82B900">
      <w:start w:val="1"/>
      <w:numFmt w:val="decimal"/>
      <w:lvlText w:val="%4"/>
      <w:lvlJc w:val="left"/>
      <w:pPr>
        <w:ind w:left="3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D8BBDA">
      <w:start w:val="1"/>
      <w:numFmt w:val="lowerLetter"/>
      <w:lvlText w:val="%5"/>
      <w:lvlJc w:val="left"/>
      <w:pPr>
        <w:ind w:left="3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D8E59A">
      <w:start w:val="1"/>
      <w:numFmt w:val="lowerRoman"/>
      <w:lvlText w:val="%6"/>
      <w:lvlJc w:val="left"/>
      <w:pPr>
        <w:ind w:left="4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0E3CD6">
      <w:start w:val="1"/>
      <w:numFmt w:val="decimal"/>
      <w:lvlText w:val="%7"/>
      <w:lvlJc w:val="left"/>
      <w:pPr>
        <w:ind w:left="5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7A3594">
      <w:start w:val="1"/>
      <w:numFmt w:val="lowerLetter"/>
      <w:lvlText w:val="%8"/>
      <w:lvlJc w:val="left"/>
      <w:pPr>
        <w:ind w:left="6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8A3D1E">
      <w:start w:val="1"/>
      <w:numFmt w:val="lowerRoman"/>
      <w:lvlText w:val="%9"/>
      <w:lvlJc w:val="left"/>
      <w:pPr>
        <w:ind w:left="68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26939340">
    <w:abstractNumId w:val="7"/>
  </w:num>
  <w:num w:numId="2" w16cid:durableId="1902714269">
    <w:abstractNumId w:val="9"/>
  </w:num>
  <w:num w:numId="3" w16cid:durableId="1149177467">
    <w:abstractNumId w:val="3"/>
  </w:num>
  <w:num w:numId="4" w16cid:durableId="1467578057">
    <w:abstractNumId w:val="5"/>
  </w:num>
  <w:num w:numId="5" w16cid:durableId="1965190703">
    <w:abstractNumId w:val="0"/>
  </w:num>
  <w:num w:numId="6" w16cid:durableId="1267274919">
    <w:abstractNumId w:val="2"/>
  </w:num>
  <w:num w:numId="7" w16cid:durableId="1595700673">
    <w:abstractNumId w:val="1"/>
  </w:num>
  <w:num w:numId="8" w16cid:durableId="2028100252">
    <w:abstractNumId w:val="10"/>
  </w:num>
  <w:num w:numId="9" w16cid:durableId="1149051655">
    <w:abstractNumId w:val="4"/>
  </w:num>
  <w:num w:numId="10" w16cid:durableId="597560566">
    <w:abstractNumId w:val="6"/>
  </w:num>
  <w:num w:numId="11" w16cid:durableId="823934641">
    <w:abstractNumId w:val="11"/>
  </w:num>
  <w:num w:numId="12" w16cid:durableId="368527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E9B"/>
    <w:rsid w:val="0002253F"/>
    <w:rsid w:val="00202CBD"/>
    <w:rsid w:val="00702319"/>
    <w:rsid w:val="00BC6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D574"/>
  <w15:docId w15:val="{BF71463C-7E3F-4407-AB5E-C12597BF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9" w:line="259" w:lineRule="auto"/>
      <w:ind w:left="152" w:hanging="10"/>
      <w:jc w:val="center"/>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40" w:lineRule="auto"/>
      <w:ind w:left="142" w:right="2"/>
      <w:jc w:val="both"/>
    </w:pPr>
    <w:rPr>
      <w:rFonts w:ascii="Arial" w:eastAsia="Arial" w:hAnsi="Arial" w:cs="Arial"/>
      <w:color w:val="000000"/>
      <w:sz w:val="18"/>
    </w:rPr>
  </w:style>
  <w:style w:type="character" w:customStyle="1" w:styleId="footnotedescriptionChar">
    <w:name w:val="footnote description Char"/>
    <w:link w:val="footnotedescription"/>
    <w:rPr>
      <w:rFonts w:ascii="Arial" w:eastAsia="Arial" w:hAnsi="Arial" w:cs="Arial"/>
      <w:color w:val="000000"/>
      <w:sz w:val="18"/>
    </w:rPr>
  </w:style>
  <w:style w:type="character" w:customStyle="1" w:styleId="Heading1Char">
    <w:name w:val="Heading 1 Char"/>
    <w:link w:val="Heading1"/>
    <w:rPr>
      <w:rFonts w:ascii="Arial" w:eastAsia="Arial" w:hAnsi="Arial" w:cs="Arial"/>
      <w:b/>
      <w:color w:val="000000"/>
      <w:sz w:val="22"/>
    </w:rPr>
  </w:style>
  <w:style w:type="character" w:customStyle="1" w:styleId="footnotemark">
    <w:name w:val="footnote mark"/>
    <w:hidden/>
    <w:rPr>
      <w:rFonts w:ascii="Arial" w:eastAsia="Arial" w:hAnsi="Arial" w:cs="Arial"/>
      <w:color w:val="000000"/>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14"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14"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3812</Words>
  <Characters>21735</Characters>
  <Application>Microsoft Office Word</Application>
  <DocSecurity>0</DocSecurity>
  <Lines>181</Lines>
  <Paragraphs>50</Paragraphs>
  <ScaleCrop>false</ScaleCrop>
  <Company/>
  <LinksUpToDate>false</LinksUpToDate>
  <CharactersWithSpaces>25497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dc:title>
  <dc:subject/>
  <dc:creator>MFEPires</dc:creator>
  <cp:keywords/>
  <cp:lastModifiedBy>Eduardo Seiti De Oliveira</cp:lastModifiedBy>
  <cp:revision>2</cp:revision>
  <dcterms:created xsi:type="dcterms:W3CDTF">2026-07-31T11:23:00Z</dcterms:created>
  <dcterms:modified xsi:type="dcterms:W3CDTF">2026-07-31T11:23:00Z</dcterms:modified>
</cp:coreProperties>
</file>