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Instrução Normativa SRF nº 76, de 18 de setembro de 2001</w:t>
      </w:r>
    </w:p>
    <w:p>
      <w:r>
        <w:t>Dispõe sobre as restituições do imposto de renda das pessoas físicas pela rede arrecadadora de receitas federais.</w:t>
      </w:r>
    </w:p>
    <w:p>
      <w:r>
        <w:t>O SECRETÁRIO DA RECEITA FEDERAL, no uso da atribuição que lhe confere o inciso III do art. 209 do Regimento Interno da Secretaria da Receita Federal, aprovado pela Portaria MF No 259, de 24 de agosto de 2001, e tendo em vista o disposto no art. 16 da Lei No 9.250, de 26 de dezembro de 1995, resolve:</w:t>
      </w:r>
    </w:p>
    <w:p>
      <w:r>
        <w:t>Art. 1o O valor do imposto de renda pago a maior, apurado na declaração de ajuste anual do imposto de renda das pessoas físicas, será restituído por intermédio dos bancos integrantes da rede arrecadadora de receitas federais autorizados a receber as declarações, bem assim pelos demais bancos indicados pelos contribuintes, observadas as disposições desta Instrução Normativa.</w:t>
      </w:r>
    </w:p>
    <w:p>
      <w:r>
        <w:t>Art. 2o A Secretaria da Receita Federal (SRF) fornecerá aos bancos, em meio magnético:</w:t>
      </w:r>
    </w:p>
    <w:p>
      <w:r>
        <w:t>I - a relação nominal dos contribuintes, com a indicação do número da conta corrente ou de poupança e da respectiva agência, informados na declaração de ajuste, para crédito do valor a restituir;</w:t>
      </w:r>
    </w:p>
    <w:p>
      <w:r>
        <w:t>II - o valor em reais a ser restituído a cada contribuinte, acrescido de juros equivalentes à taxa referencial do Sistema Especial de Liquidação e de Custódia (Selic) acumulada mensalmente a partir do mês de maio do exercício previsto para entrega das declarações de ajuste, até o mês anterior àquele em que os recursos forem colocados em disponibilidade, em estabelecimento bancário, em favor do contribuinte, e de um por cento no mês da referida disponibilização.</w:t>
      </w:r>
    </w:p>
    <w:p>
      <w:r>
        <w:t>Parágrafo único. A incidência de juros sobre os valores a restituir cessará a partir do primeiro dia do mês subseqüente àquele em que os recursos forem disponibilizados, em estabelecimento bancário, em favor do contribuinte.</w:t>
      </w:r>
    </w:p>
    <w:p>
      <w:r>
        <w:t>Art. 3o Os valores das restituições serão repassados aos bancos integrantes da rede de recepção de declarações, por intermédio da Secretaria do Tesouro Nacional (STN), a cada lote de processamento, com antecedência de cinco dias úteis da data a partir da qual ficarão disponíveis para pagamento aos destinatários.</w:t>
      </w:r>
    </w:p>
    <w:p>
      <w:r>
        <w:t>§ 1o Para os bancos que somente integram a rede de crédito das restituições e para os demais que, embora não integrando a rede de crédito, venham a ser indicados pelo contribuinte, os recursos serão repassados pelo Banco do Brasil S/A, por meio de Documento de Compensação do Sistema de Administração Financeira do Governo Federal (DOC-Siafi), no dia anterior ao previsto para início do crédito.</w:t>
      </w:r>
    </w:p>
    <w:p>
      <w:r>
        <w:t>§ 2o Na hipótese do § 1o deste artigo, os recursos serão transferidos ao Banco do Brasil pela STN, com antecedência de seis dias úteis da data fixada para o pagamento da restituição.</w:t>
      </w:r>
    </w:p>
    <w:p>
      <w:r>
        <w:t>Art. 4o A SRF expedirá comunicação aos contribuintes para informar o valor da restituição, o banco e a agência bancária encarregada do crédito ou a agência do Banco do Brasil onde este ficará disponível aguardando autorização de crédito ou transferência.</w:t>
      </w:r>
    </w:p>
    <w:p>
      <w:r>
        <w:t>Art. 5o O crédito deverá ser efetuado em conta corrente ou de poupança dos destinatários das restituições devidamente identificados pelo estabelecimento bancário.</w:t>
      </w:r>
    </w:p>
    <w:p>
      <w:r>
        <w:t>§ 1o A prova inequívoca do crédito da restituição ao contribuinte é de inteira responsabilidade do Banco, que manterá os comprovantes dos pagamentos efetuados, ou respectivos microfilmes, por lotes, durante cinco anos, contados da data do pagamento.</w:t>
      </w:r>
    </w:p>
    <w:p>
      <w:r>
        <w:t>§ 2o O Banco deverá creditar o valor da restituição na conta indicada pelo contribuinte em sua declaração de ajuste anual, conforme constar do arquivo magnético a ser fornecido pela SRF.</w:t>
      </w:r>
    </w:p>
    <w:p>
      <w:r>
        <w:t>§ 3o Na hipótese de não haver indicação de conta corrente ou de conta de poupança na declaração de ajuste, ou de indicação com dados incorretos que impeçam sua identificação, a restituição ficará disponível no Banco do Brasil, que providenciará o crédito em conta corrente ou de poupança que vier a ser indicada pelo contribuinte.</w:t>
      </w:r>
    </w:p>
    <w:p>
      <w:r>
        <w:t>Art. 6o Para efeito de restituição a outra pessoa que não o próprio contribuinte, a pessoa indicada para recebê-la deverá informar a conta corrente ou de poupança (número da conta, banco e agência) de sua titularidade e apresentar:</w:t>
      </w:r>
    </w:p>
    <w:p>
      <w:r>
        <w:t>I - instrumento público de procuração;</w:t>
      </w:r>
    </w:p>
    <w:p>
      <w:r>
        <w:t>II - Alvará Judicial, no caso de contribuinte falecido, quando houver bens a inventariar, ou autorização emitida pela autoridade fiscal da jurisdição do contribuinte, quando não houver bens a inventariar ou a arrolar, observado o disposto na Instrução Normativa SRF No 56/89, de 31 de maio de 1989;</w:t>
      </w:r>
    </w:p>
    <w:p>
      <w:r>
        <w:t>§ 1o Quando a restituição for devida a menor de idade, o pagamento será efetuado a um dos pais, que deverá apresentar autorização do cônjuge ou certidão de óbito, se este for falecido, ou ao tutor, que apresentará o Termo de Tutela.</w:t>
      </w:r>
    </w:p>
    <w:p>
      <w:r>
        <w:t>§ 2o Os documentos de que trata este artigo deverão ser mantidos em boa guarda pelo estabelecimento bancário, pelo prazo referido no § 1o do art. 5o.</w:t>
      </w:r>
    </w:p>
    <w:p>
      <w:r>
        <w:t>Art. 7o O contribuinte que entender insuficiente o valor da restituição poderá receber a importância disponível no banco e reclamar a diferença na unidade local da SRF.</w:t>
      </w:r>
    </w:p>
    <w:p>
      <w:r>
        <w:t>Parágrafo único. Na hipótese de o valor da restituição ser maior que o apurado na declaração de ajuste anual e não constarem da comunicação expedida pela SRF as causas da alteração do valor, o contribuinte deverá procurar a unidade da SRF.</w:t>
      </w:r>
    </w:p>
    <w:p>
      <w:r>
        <w:t>Art. 8o Decorrido o período um ano, contado do dia em que os valores das restituições ficaram disponíveis para resgate, os bancos recolherão ao Tesouro Nacional os valores correspondentes às restituições não pagas.</w:t>
      </w:r>
    </w:p>
    <w:p>
      <w:r>
        <w:t>Parágrafo único. O recolhimento deverá ser efetuado até o décimo dia útil subseqüente ao do vencimento do prazo mencionado neste artigo, mediante Documento de Arrecadação de Receitas Federais (Darf), com o código de receita 4634.</w:t>
      </w:r>
    </w:p>
    <w:p>
      <w:r>
        <w:t>Art. 9o Os bancos deverão encaminhar à SRF, até o décimo dia útil subseqüente ao do vencimento do prazo mencionado no parágrafo único do art. 8o, a prestação de contas relativa às restituições.</w:t>
      </w:r>
    </w:p>
    <w:p>
      <w:r>
        <w:t>Art. 10. O banco, cuja prestação de contas for rejeitada pelo processamento, terá o prazo de dez dias úteis, contado da data da devolução da fita magnética, disquete ou transmissão eletrônica rejeitada, para reapresentar sua prestação de contas.</w:t>
      </w:r>
    </w:p>
    <w:p>
      <w:r>
        <w:t>Art. 11. A prestação de contas das restituições pagas por meio de DOC-Siafi será feita pelo Banco do Brasil, observados os prazos constantes dos arts. 9o e 10 desta Instrução Normativa.</w:t>
      </w:r>
    </w:p>
    <w:p>
      <w:r>
        <w:t>Art. 12. O descumprimento das normas relativas à restituição sujeita os bancos às seguintes penalidades:</w:t>
      </w:r>
    </w:p>
    <w:p>
      <w:r>
        <w:t>I - no caso de pagamento ou crédito da restituição à pessoa indevida, multa de 10% sobre o valor restituído, não inferior a R$ 50,00 (cinqüenta reais), independentemente do ressarcimento à União do valor pago indevidamente, acrescido dos juros previstos no inciso II do art. 2o, calculados até a data do ressarcimento;</w:t>
      </w:r>
    </w:p>
    <w:p>
      <w:r>
        <w:t>II - no caso de inobservância dos prazos previstos nos arts. 8o ao 10 desta Instrução Normativa ou de rejeição da reapresentação da prestação de contas:</w:t>
      </w:r>
    </w:p>
    <w:p>
      <w:r>
        <w:t>a) multa de R$ 20,00 (vinte reais) por dia de atraso na devolução dos arquivos cujas restituições tenham sido integralmente pagas;</w:t>
      </w:r>
    </w:p>
    <w:p>
      <w:r>
        <w:t>b) multa de 0,2% (dois décimos por cento) ao dia sobre o valor total das restituições não pagas, relacionadas nos arquivos devolvidos com atraso, limitada a 20% (vinte por cento);</w:t>
      </w:r>
    </w:p>
    <w:p>
      <w:r>
        <w:t>c) multa de 0,2% (dois décimos por cento) ao dia e juros de mora de um por cento ao mês (cálculo diário) sobre o valor das restituições não pagas, que não foram devolvidas ao Tesouro Nacional, e das que foram devolvidas com atraso ou recolhidas a menor, limitada a 20% (vinte por cento).</w:t>
      </w:r>
    </w:p>
    <w:p>
      <w:r>
        <w:t>Parágrafo único. Transcorridos trinta dias da aplicação de multa sem que a prestação de contas tenha sido apresentada corretamente, fica o banco infrator desligado da rede arrecadadora de receitas federais, por ato do Coordenador-Geral de Administração Tributária.</w:t>
      </w:r>
    </w:p>
    <w:p>
      <w:r>
        <w:t>Art. 13. A Coordenação-Geral de Administração Tributária poderá editar atos necessários à execução desta Instrução Normativa.</w:t>
      </w:r>
    </w:p>
    <w:p>
      <w:r>
        <w:t>Art. 14. Esta Instrução Normativa entra em vigor na data de sua publicação.</w:t>
      </w:r>
    </w:p>
    <w:p>
      <w:r>
        <w:t>Art. 15. Fica formalmente revogada, sem interrupção de sua força normativa, a Instrução Normativa SRF No 52, de 17 de maio de 2000.</w:t>
      </w:r>
    </w:p>
    <w:p>
      <w:r>
        <w:t>EVERARDO MACIEL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Instrução Normativa SRF nº 76, de 18 de setembro de 2001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