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SRF nº 84, de 6 de outubro de 1999</w:t>
      </w:r>
    </w:p>
    <w:p>
      <w:r>
        <w:t>Dispõe sobre o tratamento tributário aplicável às cotas relativas a passagens aéreas e direito de uso de serviços postais e telefônicos atribuídas aos parlamentares.</w:t>
      </w:r>
    </w:p>
    <w:p>
      <w:r>
        <w:t>O SECRETÁRIO DA RECEITA FEDERAL, no uso de suas atribuições e, tendo em vista o disposto no art. 43 da Lei No 5.172, de 25 de outubro de 1966 - Código Tributário Nacional - e no art. 3o da Lei No 7.713, de 22 de dezembro de 1988, declara:</w:t>
      </w:r>
    </w:p>
    <w:p>
      <w:r>
        <w:t>Art. 1o As cotas relativas a direito de uso de serviços postais e telefônicos, bem assim a passagens aéreas atribuídas aos parlamentares no exercício do mandato, nos limites fixados pelo orgão competente, não se sujeitam à tributação pelo imposto sobre a renda na fonte e na Declaração de Ajuste Anual.</w:t>
      </w:r>
    </w:p>
    <w:p>
      <w:r>
        <w:t>Art. 2o Na hipótese de conversão em pecúnia das referidas cotas, os valores recebidos integram o rendimento tributável do beneficiário.</w:t>
      </w:r>
    </w:p>
    <w:p>
      <w:r>
        <w:t>EVERARDO MACIEL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SRF nº 84, de 6 de outubro de 1999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