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Ato Declaratório Normativo CST nº 20, de 21 de agosto de 1989</w:t>
      </w:r>
    </w:p>
    <w:p>
      <w:r>
        <w:t>Rendimento não tributável</w:t>
      </w:r>
    </w:p>
    <w:p>
      <w:r>
        <w:t>O COORDENADOR DO SISTEMA DE TRIBUTAÇÃO-SUBSTITUTO, no uso das atribuições que lhe confere o item II da Instrução Normativa SRF nº 34, de 18 de setembro de 1974, e tendo em vista o parágrafo único do artigo 22 da Lei nº 7.713, de 22 de dezembro de 1988,</w:t>
      </w:r>
    </w:p>
    <w:p>
      <w:r>
        <w:t>DECLARA, em caráter normativo, às Superintendências Regionais da Receita Federal e demais interessados, que os valores recebidos pelas pessoas físicas, relativos a indenização reparatória por danos físicos, invalidez ou morte ou por bem material danificado ou destruído, em decorrência de acidente de trânsito, até o limite fixado em condenação judicial, não estão sujeitos à incidência do imposto de renda por não se enquadrar no conceito de renda tributável.</w:t>
      </w:r>
    </w:p>
    <w:p>
      <w:r>
        <w:t>PAULO BALTAZAR CARNEIRO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Ato Declaratório Normativo CST nº 20, de 21 de agosto de 1989</dc:title>
  <dc:subject>Brazilian Federal Law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