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1037, de 4 de junho de 2010</w:t>
      </w:r>
    </w:p>
    <w:p>
      <w:r>
        <w:t>Relaciona países ou dependências com tributação favorecida e regimes fiscais privilegiados.</w:t>
      </w:r>
    </w:p>
    <w:p>
      <w:r>
        <w:t>O SECRETÁRIO DA RECEITA FEDERAL DO BRASIL, no uso da atribuição que lhe confere o inciso III do art. 261 do Regimento Interno da Secretaria da Receita Federal do Brasil, aprovado pela Portaria MF nº 125, de 4 de março de 2009, e tendo em vista o disposto no art. 24 da Lei nº 9.430, de 27 de dezembro de 1996; no art. 8º da Lei nº 9.779, de 19 de janeiro de 1999; no art. 7º da Lei nº 9.959, de 27 de janeiro de 2000; no § 1º do art. 29 da Medida Provisória nº 2.158-35, de 24 de agosto de 2001, no § 2º do art. 16 da Medida Provisória nº 2.189-49, de 23 de agosto de 2001, nos arts. 3º e 4º da Lei nº 10.451, de 10 de maio de 2002, e nos arts. 22 e 23 da Lei nº 11.727, de 23 de junho de 2008, resolve:</w:t>
      </w:r>
    </w:p>
    <w:p>
      <w:r>
        <w:t>Art. 1º Para efeitos do disposto nesta Instrução Normativa, consideram-se países ou dependências que não tributam a renda ou que a tributam à alíquota inferior a 20% (vinte por cento) ou, ainda, cuja legislação interna não permita acesso a informações relativas à composição societária de pessoas jurídicas ou à sua titularidade, as seguintes jurisdições:</w:t>
      </w:r>
    </w:p>
    <w:p>
      <w:r>
        <w:t>I - Andorra;</w:t>
      </w:r>
    </w:p>
    <w:p>
      <w:r>
        <w:t>II - Anguilla;</w:t>
      </w:r>
    </w:p>
    <w:p>
      <w:r>
        <w:t>III - Antígua e Barbuda;</w:t>
      </w:r>
    </w:p>
    <w:p>
      <w:r>
        <w:t>IV - Antilhas Holandesas;</w:t>
      </w:r>
    </w:p>
    <w:p>
      <w:r>
        <w:t>V - Aruba;</w:t>
      </w:r>
    </w:p>
    <w:p>
      <w:r>
        <w:t>VI - Ilhas Ascensão;</w:t>
      </w:r>
    </w:p>
    <w:p>
      <w:r>
        <w:t>VII - Comunidade das Bahamas;</w:t>
      </w:r>
    </w:p>
    <w:p>
      <w:r>
        <w:t>VIII - Bahrein;</w:t>
      </w:r>
    </w:p>
    <w:p>
      <w:r>
        <w:t>IX - Barbados;</w:t>
      </w:r>
    </w:p>
    <w:p>
      <w:r>
        <w:t>X - Belize;</w:t>
      </w:r>
    </w:p>
    <w:p>
      <w:r>
        <w:t>XI - Ilhas Bermudas;</w:t>
      </w:r>
    </w:p>
    <w:p>
      <w:r>
        <w:t>XII - Brunei;</w:t>
      </w:r>
    </w:p>
    <w:p>
      <w:r>
        <w:t>XIII - Campione D' Italia;</w:t>
      </w:r>
    </w:p>
    <w:p>
      <w:r>
        <w:t>XIV - Ilhas do Canal (Alderney, Guernsey, Jersey e Sark);</w:t>
      </w:r>
    </w:p>
    <w:p>
      <w:r>
        <w:t>XV - Ilhas Cayman;</w:t>
      </w:r>
    </w:p>
    <w:p>
      <w:r>
        <w:t>XVI - Chipre;</w:t>
      </w:r>
    </w:p>
    <w:p>
      <w:r>
        <w:t>XVII - Cingapura;</w:t>
      </w:r>
    </w:p>
    <w:p>
      <w:r>
        <w:t>XVIII - Ilhas Cook;</w:t>
      </w:r>
    </w:p>
    <w:p>
      <w:r>
        <w:t>XIX - República da Costa Rica;</w:t>
      </w:r>
    </w:p>
    <w:p>
      <w:r>
        <w:t>XX - Djibouti;</w:t>
      </w:r>
    </w:p>
    <w:p>
      <w:r>
        <w:t>XXI - Dominica;</w:t>
      </w:r>
    </w:p>
    <w:p>
      <w:r>
        <w:t>XXII - Emirados Árabes Unidos;</w:t>
      </w:r>
    </w:p>
    <w:p>
      <w:r>
        <w:t>XXIII - Gibraltar;</w:t>
      </w:r>
    </w:p>
    <w:p>
      <w:r>
        <w:t>XXIV - Granada;</w:t>
      </w:r>
    </w:p>
    <w:p>
      <w:r>
        <w:t>XXV - Hong Kong;</w:t>
      </w:r>
    </w:p>
    <w:p>
      <w:r>
        <w:t>XXVI - Kiribati;</w:t>
      </w:r>
    </w:p>
    <w:p>
      <w:r>
        <w:t>XXVII - Lebuan;</w:t>
      </w:r>
    </w:p>
    <w:p>
      <w:r>
        <w:t>XXVIII - Líbano;</w:t>
      </w:r>
    </w:p>
    <w:p>
      <w:r>
        <w:t>XXIX - Libéria;</w:t>
      </w:r>
    </w:p>
    <w:p>
      <w:r>
        <w:t>XXX - Liechtenstein;</w:t>
      </w:r>
    </w:p>
    <w:p>
      <w:r>
        <w:t>XXXI - Macau;</w:t>
      </w:r>
    </w:p>
    <w:p>
      <w:r>
        <w:t>XXXII - Ilha da Madeira;</w:t>
      </w:r>
    </w:p>
    <w:p>
      <w:r>
        <w:t>XXXIII - Maldivas;</w:t>
      </w:r>
    </w:p>
    <w:p>
      <w:r>
        <w:t>XXXIV - Ilha de Man;</w:t>
      </w:r>
    </w:p>
    <w:p>
      <w:r>
        <w:t>XXXV - Ilhas Marshall;</w:t>
      </w:r>
    </w:p>
    <w:p>
      <w:r>
        <w:t>XXXVI - Ilhas Maurício;</w:t>
      </w:r>
    </w:p>
    <w:p>
      <w:r>
        <w:t>XXXVII - Mônaco;</w:t>
      </w:r>
    </w:p>
    <w:p>
      <w:r>
        <w:t>XXXVIII - Ilhas Montserrat; XXXIX - Nauru;</w:t>
      </w:r>
    </w:p>
    <w:p>
      <w:r>
        <w:t>XL - Ilha Niue;</w:t>
      </w:r>
    </w:p>
    <w:p>
      <w:r>
        <w:t>XLI - Ilha Norfolk;</w:t>
      </w:r>
    </w:p>
    <w:p>
      <w:r>
        <w:t>XLII - Panamá;</w:t>
      </w:r>
    </w:p>
    <w:p>
      <w:r>
        <w:t>XLIII - Ilha Pitcairn;</w:t>
      </w:r>
    </w:p>
    <w:p>
      <w:r>
        <w:t>XLIV - Polinésia Francesa;</w:t>
      </w:r>
    </w:p>
    <w:p>
      <w:r>
        <w:t>XLV - Ilha Queshm;</w:t>
      </w:r>
    </w:p>
    <w:p>
      <w:r>
        <w:t>XLVI - Samoa Americana;</w:t>
      </w:r>
    </w:p>
    <w:p>
      <w:r>
        <w:t>XLVII - Samoa Ocidental;</w:t>
      </w:r>
    </w:p>
    <w:p>
      <w:r>
        <w:t>XLVIII - San Marino;</w:t>
      </w:r>
    </w:p>
    <w:p>
      <w:r>
        <w:t>XLIX - Ilhas de Santa Helena;</w:t>
      </w:r>
    </w:p>
    <w:p>
      <w:r>
        <w:t>L - Santa Lúcia;</w:t>
      </w:r>
    </w:p>
    <w:p>
      <w:r>
        <w:t>LI - Federação de São Cristóvão e Nevis;</w:t>
      </w:r>
    </w:p>
    <w:p>
      <w:r>
        <w:t>LII - Ilha de São Pedro e Miguelão;</w:t>
      </w:r>
    </w:p>
    <w:p>
      <w:r>
        <w:t>LIII - São Vicente e Granadinas;</w:t>
      </w:r>
    </w:p>
    <w:p>
      <w:r>
        <w:t>LIV - Seychelles;</w:t>
      </w:r>
    </w:p>
    <w:p>
      <w:r>
        <w:t>LV - Ilhas Solomon;</w:t>
      </w:r>
    </w:p>
    <w:p>
      <w:r>
        <w:t>LVI - St. Kitts e Nevis;</w:t>
      </w:r>
    </w:p>
    <w:p>
      <w:r>
        <w:t>LVII - Suazilândia;</w:t>
      </w:r>
    </w:p>
    <w:p>
      <w:r>
        <w:t>LVIII - Suíça;</w:t>
      </w:r>
    </w:p>
    <w:p>
      <w:r>
        <w:t>LIX - Sultanato de Omã;</w:t>
      </w:r>
    </w:p>
    <w:p>
      <w:r>
        <w:t>LX - Tonga;</w:t>
      </w:r>
    </w:p>
    <w:p>
      <w:r>
        <w:t>LXI - Tristão da Cunha;</w:t>
      </w:r>
    </w:p>
    <w:p>
      <w:r>
        <w:t>LXII - Ilhas Turks e Caicos;</w:t>
      </w:r>
    </w:p>
    <w:p>
      <w:r>
        <w:t>LXIII - Vanuatu;</w:t>
      </w:r>
    </w:p>
    <w:p>
      <w:r>
        <w:t>LXIV - Ilhas Virgens Americanas;</w:t>
      </w:r>
    </w:p>
    <w:p>
      <w:r>
        <w:t>LXV - Ilhas Virgens Britânicas;</w:t>
      </w:r>
    </w:p>
    <w:p>
      <w:r>
        <w:t>Art. 2º São regimes fiscais privilegiados:</w:t>
      </w:r>
    </w:p>
    <w:p>
      <w:r>
        <w:t>I - com referência à legislação de Luxemburgo, o regime aplicável às pessoas jurídicas constituídas sob a forma de holding company;</w:t>
      </w:r>
    </w:p>
    <w:p>
      <w:r>
        <w:t>II - com referência à legislação do Uruguai, o regime aplicável às pessoas jurídicas constituídas sob a forma de " Sociedades Financeiras de Inversão (Safis)" até 31 de dezembro de 2010;</w:t>
      </w:r>
    </w:p>
    <w:p>
      <w:r>
        <w:t>III - com referência à legislação da Dinamarca, o regime aplicável às pessoas jurídicas constituídas sob a forma de holding company;</w:t>
      </w:r>
    </w:p>
    <w:p>
      <w:r>
        <w:t>IV - com referência à legislação do Reino dos Países Baixos, o regime aplicável às pessoas jurídicas constituídas sob a forma de holding company;</w:t>
      </w:r>
    </w:p>
    <w:p>
      <w:r>
        <w:t>V - com referência à legislação da Islândia, o regime aplicável às pessoas jurídicas constituídas sob a forma de International Trading Company (ITC);</w:t>
      </w:r>
    </w:p>
    <w:p>
      <w:r>
        <w:t>VI - com referência à legislação da Hungria, o regime aplicável às pessoas jurídicas constituídas sob a forma de offshore KFT;</w:t>
      </w:r>
    </w:p>
    <w:p>
      <w:r>
        <w:t>VII - com referência à legislação dos Estados Unidos da América, o regime aplicável às pessoas jurídicas constituídas sob a forma de Limited Liability Company (LLC) estaduais, cuja participação seja composta de não residentes, não sujeitas ao imposto de renda federal; ou</w:t>
      </w:r>
    </w:p>
    <w:p>
      <w:r>
        <w:t>VIII - com referência à legislação da Espanha, o regime aplicável às pessoas jurídicas constituídas sob a forma de Entidad de Tenencia de Valores Extranjeros (E.T.V.Es.);</w:t>
      </w:r>
    </w:p>
    <w:p>
      <w:r>
        <w:t>IX - com referência à legislação de Malta, o regime aplicável às pessoas jurídicas constituídas sob a forma de International Trading Company (ITC) e de International Holding Company (IHC).</w:t>
      </w:r>
    </w:p>
    <w:p>
      <w:r>
        <w:t>Art. 3º Esta Instrução Normativa entra em vigor na data de sua publicação.</w:t>
      </w:r>
    </w:p>
    <w:p>
      <w:r>
        <w:t>Art. 4º Fica revogada a Instrução Normativa SRF Nº 188, de 6 de agosto de 2002.</w:t>
      </w:r>
    </w:p>
    <w:p>
      <w:r>
        <w:t>OTACÍLIO DANTAS CARTAXO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1.037, de 4 de junho de 2010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