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1531, de 19 de dezembro de 2014</w:t>
      </w:r>
    </w:p>
    <w:p>
      <w:r>
        <w:t>Dispõe a respeito de orientação aos contribuintes quanto à utilização do programa multiplataforma Recolhimento Mensal Obrigatório (Carnê-Leão) relativo ao Imposto sobre a Renda da Pessoa Física a partir do ano-calendário de 2015.</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no art. 16 da Lei nº 9.779, de 19 de janeiro de 1999, e no Capítulo IX da Instrução Normativa RFB nº 1.500, de 29 de outubro de 2014, resolve:</w:t>
      </w:r>
    </w:p>
    <w:p>
      <w:r>
        <w:t>Art. 1º A partir do ano-calendário de 2015, para fins de utilização do programa multiplataforma Recolhimento Mensal Obrigatório (Carnê-Leão) relativo ao Imposto sobre a Renda da Pessoa Física, deverá ser informado o número do registro profissional dos contribuintes relacionados no Anexo Único por Código de Ocupação Principal, bem como identificado, pelo número de inscrição no Cadastro de Pessoas Físicas (CPF), cada titular do pagamento pelos serviços por eles prestados.</w:t>
      </w:r>
    </w:p>
    <w:p>
      <w:r>
        <w:t>§ 1º As informações relacionadas no caput, quando não utilizado o programa multiplataforma Recolhimento Mensal Obrigatório (Carnê-Leão), deverão ser prestadas nas Declarações de Ajuste Anual do ano-calendário a que se referirem.</w:t>
      </w:r>
    </w:p>
    <w:p>
      <w:r>
        <w:t>§ 2º Os contribuintes de que trata o caput, nas prestações de serviço efetuadas a partir de 1º de janeiro de 2015, deverão atentar para a necessária identificação do CPF dos titulares do pagamento de cada um desses serviços, para fins do disposto nesta Instrução Normativa.</w:t>
      </w:r>
    </w:p>
    <w:p>
      <w:r>
        <w:t>Art. 2º Esta Instrução Normativa entra em vigor na data de sua publicação no Diário Oficial da União.</w:t>
      </w:r>
    </w:p>
    <w:p>
      <w:r>
        <w:t>CARLOS ALBERTO FREITAS BARRETO</w:t>
      </w:r>
    </w:p>
    <w:p>
      <w:r>
        <w:t>ANEXO ÚNICO</w:t>
      </w:r>
    </w:p>
    <w:p>
      <w:r>
        <w:t>Anexo Único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1.531, de 19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