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Parecer Normativo Cosit nº 1, de 17 de março de 1994</w:t>
      </w:r>
    </w:p>
    <w:p>
      <w:r>
        <w:t>A ajuda de custo isenta do imposto de renda é a que se reveste de caráter indenizatório, destinada a atender às despesas com transporte, frete e locomoção do beneficiado e de sua família, em caso de remoção de um município para outro.</w:t>
      </w:r>
    </w:p>
    <w:p>
      <w:r>
        <w:t>Dúvidas têm sido suscitadas quanto à interpretação do art. 6º, inciso XX, da Lei nº 7.713, de 22.12.89, que dispõe in verbis :</w:t>
      </w:r>
    </w:p>
    <w:p>
      <w:r>
        <w:t>"Art. 6º Ficam isentos do imposto de renda os seguintes rendimentos percebidos por pessoas físicas:</w:t>
      </w:r>
    </w:p>
    <w:p>
      <w:r>
        <w:t>........................................................</w:t>
      </w:r>
    </w:p>
    <w:p>
      <w:r>
        <w:t>XX - ajuda de custo destinada a atender às despesas com transporte, frete e locomoção do beneficiado e seus familiares, em caso de remoção de um município para outro, sujeita à comprovação pelo contribuinte."</w:t>
      </w:r>
    </w:p>
    <w:p>
      <w:r>
        <w:t>2. Necessária, inicialmente, a caracterização da natureza do rendimento pago a esse título, posto que a definição legal do fato gerador deve ser interpretada abstraindo-se da denominação dos fatos ocorridos ou dos atos praticados.</w:t>
      </w:r>
    </w:p>
    <w:p>
      <w:r>
        <w:t>3. Ajuda de custo a que se refere o dispositivo legal em questão, é a que se reveste de caráter indenizatório, destinando-se a ressarcir os gastos do empregado com transporte, frete e locomoção, em virtude de sua remoção para localidade diversa daquela em que residia.</w:t>
      </w:r>
    </w:p>
    <w:p>
      <w:r>
        <w:t>A ajuda de custo tem, neste preceito da legislação tributária, o mesmo significado que deflui da legislação referente às relações de trabalho, tanto no âmbito da Consolidação da Leis do Trabalho como do Regime Jurídico dos Servidores Públicos, cujas características são:</w:t>
      </w:r>
    </w:p>
    <w:p>
      <w:r>
        <w:t>- de indenização e não de complementação salarial;</w:t>
      </w:r>
    </w:p>
    <w:p>
      <w:r>
        <w:t>- a mudança de domicílio do empregado, em virtude de sua remoção de um município para outro.</w:t>
      </w:r>
    </w:p>
    <w:p>
      <w:r>
        <w:t>5. Sem esses requisitos, que lhe devem ser peculiares, as importâncias pagas sob essa rubrica serão consideradas salários e receberão o tratamento tributário dispensado para o caso.</w:t>
      </w:r>
    </w:p>
    <w:p>
      <w:r>
        <w:t>6. Sobre o assunto, o Parecer Normativo CST nº 36/78 (D.O.U de 03.05.78), emitido à luz da legislação vigente à época, em cujo bojo encontra-se a definição de ajuda de custo, firmou o entendimento que a ajuda de custo isenta é aquela destinada a indenizar despesas de transporte e instalação do contribuinte e sua família, em caráter permanente, em localidade diferente daquela em que residia, por transferência de seu centro de atividades.</w:t>
      </w:r>
    </w:p>
    <w:p>
      <w:r>
        <w:t>7. Ressalte-se que, de acordo com os arts. 176 e 111, II, da Lei nº 5.172/66 - Código Tributário Nacional - a isenção é sempre decorrente de lei, a qual deve ser interpretada literalmente.</w:t>
      </w:r>
    </w:p>
    <w:p>
      <w:r>
        <w:t>8. Dessa forma, vantagens outras pagas pelo empregador ao empregado sob essa denominação, de maneira continuada ou eventualmente, sem que ocorra a mudança de localidade de residência do empregado, em caráter permanente, para município diferente daquele em que residia, não estão abrangidas pela isenção de que trata o inciso XX do art. 6º da Lei nº 7.713/88, devendo integrar os rendimentos sujeitos à incidência do imposto de renda na fonte e na declaração.</w:t>
      </w:r>
    </w:p>
    <w:p>
      <w:r>
        <w:t>9. Nos termos do dispositivo legal em comento, a remoção está sujeita à comprovação posterior pela pessoa física beneficiária do rendimento, quando solicitada pelo fisco federal.</w:t>
      </w:r>
    </w:p>
    <w:p>
      <w:r>
        <w:t>À consideração superior.</w:t>
      </w:r>
    </w:p>
    <w:p>
      <w:r>
        <w:t>Maria das Graças Patrocínio Oliveira Auditora-Fiscal do Tesouro Nacional</w:t>
      </w:r>
    </w:p>
    <w:p>
      <w:r>
        <w:t>De acordo</w:t>
      </w:r>
    </w:p>
    <w:p>
      <w:r>
        <w:t>Leliana Maria Rolim de Pontes Vieira Chefe da Divisão de Tributos sobre a Renda</w:t>
      </w:r>
    </w:p>
    <w:p>
      <w:r>
        <w:t>Aprovo.</w:t>
      </w:r>
    </w:p>
    <w:p>
      <w:r>
        <w:t>Publique-se e, a seguir, encaminhem-se cópias às Superintendências Regionais da Receita Federal para conhecimento e ciência aos demais órgãos subordinados.</w:t>
      </w:r>
    </w:p>
    <w:p>
      <w:r>
        <w:t>EDSON VIANNA DE BRITO Coordenador-Geral do Sistema de Tributação Substituto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Normativo Cosit nº 1, de 17 de março de 1994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